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Afet ve Acil Durum Koordinatörlüğü olarak, kalite güvencesi sistemimizin bir parçası olarak her yıl düzenli şekilde hazırladığımız Birim İç Değerlendirme Raporları, koordinatörlüğümüzün eğitim, araştırma ve idari süreçlerindeki güçlü yönlerini, gelişime açık alanlarını ve performansını değerlendirmeyi amaçlamaktadır. Bu raporlar, koordinatörlüğümüzün şeffaf ve hesap verebilir bir yönetim anlayışıyla faaliyetlerini sürdürdüğünün somut bir göstergesidir. Birim İç Değerlendirme Raporları, kalite standartlarımızı geliştirme hedefi doğrultusunda hazırlanmakta olup, koordinatörlüğümüzün mevcut durumunu kapsamlı bir şekilde analiz etmektedir. Öğrencilerimiz, akademik ve idari personelimiz ile diğer paydaşlarımız, bu raporları inceleyerek koordinatörlüğümüzün faaliyetleri hakkında detaylı bilgi edinebilirler.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 xml:space="preserve">İletişim Bilgileri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Afet ve Acil Durum Koordinatörü</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Dr. Öğr. Üyesi Galip USTA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Adres: Kaleönü Mahallesi, 61500 Tonya/Trabzon</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E-posta: </w:t>
      </w:r>
      <w:hyperlink xmlns:r="http://schemas.openxmlformats.org/officeDocument/2006/relationships" r:id="rId63246a304b3b1f2d5" w:history="1">
        <w:r>
          <w:rPr>
            <w:rStyle w:val="DefaultParagraphFontPHPDOCX"/>
            <w:rFonts w:ascii="Times New Roman" w:hAnsi="Times New Roman" w:eastAsia="Times New Roman" w:cs="Times New Roman"/>
            <w:color w:val="0000CC"/>
            <w:sz w:val="24"/>
            <w:szCs w:val="24"/>
            <w:u w:val="single" w:color="000000"/>
          </w:rPr>
          <w:t xml:space="preserve">galipusta@trabzon.edu.tr</w:t>
        </w:r>
      </w:hyperlink>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Telefon: 0 462 455 45 18 (Dahili: 4518)</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Afet ve Acil Durum (TRÜ-AFAD) Koordinatörlüğü, 21 Aralık 2023 tarihinde kurularak faaliyetlerine başlamıştır.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Bilgi ve beceriyle donatılmış, milli ve evrensel değerleri benimsemiş, iletişim ve sorun çözme yetkinlikleri gelişmiş, afetlere duyarlı bireylerin yetiştirilmesine ortam ve imkân sağlamaktır.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Bilimsel araştırma ve multidisipliner yaklaşımları temel alarak, afetlere karşı hazırlıklı ve dirençli toplumlar oluşturmaktır.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Değerlerimiz</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Afet ve Acil Durum Koordinatörlüğü’nün temel amacı, afetlere karşı hazırlıklı, dayanıklı ve bilinçli bir toplum oluşturmaktır. Bu amaç doğrultusunda, bilimsel verilerle stratejik çözümler geliştirerek afet risklerini azaltmak, toplumsal farkındalık ve eğitim faaliyetleriyle bireylerin ve kurumların kapasitesini artırmak hedeflenmektedir. Bu kapsamda oluşturulan değerlerimiz şunlardır;</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i/>
          <w:iCs/>
          <w:color w:val="000000"/>
          <w:sz w:val="24"/>
          <w:szCs w:val="24"/>
        </w:rPr>
        <w:t xml:space="preserve">Hızlı ve Etkili Müdahale:</w:t>
      </w:r>
      <w:r>
        <w:rPr>
          <w:rFonts w:ascii="Times New Roman" w:hAnsi="Times New Roman" w:eastAsia="Times New Roman" w:cs="Times New Roman"/>
          <w:color w:val="000000"/>
          <w:sz w:val="24"/>
          <w:szCs w:val="24"/>
        </w:rPr>
        <w:t xml:space="preserve"> Afet ve acil durumlarda zamanında, doğru ve etkili çözümler üreterek toplumsal fayda sağlamak.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i/>
          <w:iCs/>
          <w:color w:val="000000"/>
          <w:sz w:val="24"/>
          <w:szCs w:val="24"/>
        </w:rPr>
        <w:t xml:space="preserve">Dayanışma ve İş Birliği:</w:t>
      </w:r>
      <w:r>
        <w:rPr>
          <w:rFonts w:ascii="Times New Roman" w:hAnsi="Times New Roman" w:eastAsia="Times New Roman" w:cs="Times New Roman"/>
          <w:color w:val="000000"/>
          <w:sz w:val="24"/>
          <w:szCs w:val="24"/>
        </w:rPr>
        <w:t xml:space="preserve"> Toplum, kurumlar ve paydaşlarla güçlü bir iş birliği ve dayanışma kültürü oluşturmak.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i/>
          <w:iCs/>
          <w:color w:val="000000"/>
          <w:sz w:val="24"/>
          <w:szCs w:val="24"/>
        </w:rPr>
        <w:t xml:space="preserve">Sürdürülebilirlik ve Hazırlıklılık:</w:t>
      </w:r>
      <w:r>
        <w:rPr>
          <w:rFonts w:ascii="Times New Roman" w:hAnsi="Times New Roman" w:eastAsia="Times New Roman" w:cs="Times New Roman"/>
          <w:color w:val="000000"/>
          <w:sz w:val="24"/>
          <w:szCs w:val="24"/>
        </w:rPr>
        <w:t xml:space="preserve"> Afetlere karşı sürdürülebilir çözümler geliştirmek ve her koşulda hazırlıklı olmak.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i/>
          <w:iCs/>
          <w:color w:val="000000"/>
          <w:sz w:val="24"/>
          <w:szCs w:val="24"/>
        </w:rPr>
        <w:t xml:space="preserve">Bilim ve Eğitim Temelli Yaklaşım:</w:t>
      </w:r>
      <w:r>
        <w:rPr>
          <w:rFonts w:ascii="Times New Roman" w:hAnsi="Times New Roman" w:eastAsia="Times New Roman" w:cs="Times New Roman"/>
          <w:color w:val="000000"/>
          <w:sz w:val="24"/>
          <w:szCs w:val="24"/>
        </w:rPr>
        <w:t xml:space="preserve"> Karar süreçlerinde bilimsel verilerden faydalanmak ve eğitim yoluyla toplumsal farkındalığı artırmak.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i/>
          <w:iCs/>
          <w:color w:val="000000"/>
          <w:sz w:val="24"/>
          <w:szCs w:val="24"/>
        </w:rPr>
        <w:t xml:space="preserve">Şeffaflık ve Güven:</w:t>
      </w:r>
      <w:r>
        <w:rPr>
          <w:rFonts w:ascii="Times New Roman" w:hAnsi="Times New Roman" w:eastAsia="Times New Roman" w:cs="Times New Roman"/>
          <w:color w:val="000000"/>
          <w:sz w:val="24"/>
          <w:szCs w:val="24"/>
        </w:rPr>
        <w:t xml:space="preserve"> Tüm süreçlerde açık, hesap verebilir ve güvenilir bir yönetim anlayışını benimsemek.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i/>
          <w:iCs/>
          <w:color w:val="000000"/>
          <w:sz w:val="24"/>
          <w:szCs w:val="24"/>
        </w:rPr>
        <w:t xml:space="preserve">Toplumsal Dayanıklılığı Artırmak:</w:t>
      </w:r>
      <w:r>
        <w:rPr>
          <w:rFonts w:ascii="Times New Roman" w:hAnsi="Times New Roman" w:eastAsia="Times New Roman" w:cs="Times New Roman"/>
          <w:color w:val="000000"/>
          <w:sz w:val="24"/>
          <w:szCs w:val="24"/>
        </w:rPr>
        <w:t xml:space="preserve"> Afetlere karşı toplumun hazırlık seviyesini artırmak ve afet sonrası iyileşme sürecini hızlandırmak.</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Afet ve Acil Durum Koordinatörlüğü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Organizasyon şeması ile bağlılık ve raporlama ilişkileri açık bir şekilde tanımlanmış ve yayımlanmıştır. Bu sayede, işleyişin tüm paydaşlar tarafından bilinmesi ve anlaşılması sağlanmıştır.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9246a304b3b1ffd7" w:history="1">
        <w:r>
          <w:rPr>
            <w:rStyle w:val="DefaultParagraphFontPHPDOCX"/>
            <w:rFonts w:ascii="Times New Roman" w:hAnsi="Times New Roman" w:eastAsia="Times New Roman" w:cs="Times New Roman"/>
            <w:color w:val="0000FF"/>
            <w:sz w:val="24"/>
            <w:szCs w:val="24"/>
            <w:u w:val="single" w:color="000000"/>
          </w:rPr>
          <w:t xml:space="preserve">(2)A.1.1._1: Yönetim</w:t>
        </w:r>
      </w:hyperlink>
    </w:p>
    <w:p>
      <w:pPr>
        <w:widowControl w:val="on"/>
        <w:pBdr/>
        <w:spacing w:before="240" w:after="240" w:line="240" w:lineRule="auto"/>
        <w:ind w:left="0" w:right="0"/>
        <w:jc w:val="left"/>
      </w:pPr>
      <w:hyperlink xmlns:r="http://schemas.openxmlformats.org/officeDocument/2006/relationships" r:id="rId71056a304b3b2004f" w:history="1">
        <w:r>
          <w:rPr>
            <w:rStyle w:val="DefaultParagraphFontPHPDOCX"/>
            <w:rFonts w:ascii="Times New Roman" w:hAnsi="Times New Roman" w:eastAsia="Times New Roman" w:cs="Times New Roman"/>
            <w:color w:val="0000FF"/>
            <w:sz w:val="24"/>
            <w:szCs w:val="24"/>
            <w:u w:val="single" w:color="000000"/>
          </w:rPr>
          <w:t xml:space="preserve">(2)A.1.1._2: Misyon Vizyon</w:t>
        </w:r>
      </w:hyperlink>
    </w:p>
    <w:p>
      <w:pPr>
        <w:widowControl w:val="on"/>
        <w:pBdr/>
        <w:spacing w:before="240" w:after="240" w:line="240" w:lineRule="auto"/>
        <w:ind w:left="0" w:right="0"/>
        <w:jc w:val="left"/>
      </w:pPr>
      <w:hyperlink xmlns:r="http://schemas.openxmlformats.org/officeDocument/2006/relationships" r:id="rId51306a304b3b200c3" w:history="1">
        <w:r>
          <w:rPr>
            <w:rStyle w:val="DefaultParagraphFontPHPDOCX"/>
            <w:rFonts w:ascii="Times New Roman" w:hAnsi="Times New Roman" w:eastAsia="Times New Roman" w:cs="Times New Roman"/>
            <w:color w:val="0000FF"/>
            <w:sz w:val="24"/>
            <w:szCs w:val="24"/>
            <w:u w:val="single" w:color="000000"/>
          </w:rPr>
          <w:t xml:space="preserve">(2)A.1.1._3: Organizasyon_Şeması</w:t>
        </w:r>
      </w:hyperlink>
    </w:p>
    <w:p>
      <w:pPr>
        <w:widowControl w:val="on"/>
        <w:pBdr/>
        <w:spacing w:before="240" w:after="240" w:line="240" w:lineRule="auto"/>
        <w:ind w:left="0" w:right="0"/>
        <w:jc w:val="left"/>
      </w:pPr>
      <w:hyperlink xmlns:r="http://schemas.openxmlformats.org/officeDocument/2006/relationships" r:id="rId80876a304b3b20138" w:history="1">
        <w:r>
          <w:rPr>
            <w:rStyle w:val="DefaultParagraphFontPHPDOCX"/>
            <w:rFonts w:ascii="Times New Roman" w:hAnsi="Times New Roman" w:eastAsia="Times New Roman" w:cs="Times New Roman"/>
            <w:color w:val="0000FF"/>
            <w:sz w:val="24"/>
            <w:szCs w:val="24"/>
            <w:u w:val="single" w:color="000000"/>
          </w:rPr>
          <w:t xml:space="preserve">(2)A.1.1._4: Yönerge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Koordinatörlükte yükseköğretim ekosistemindeki değişim, belirsizlik ve karmaşıklığı dikkate alan bir kalite güvencesi sistemi ve kültürü oluşturma konusunda sahipliği ve motivasyonu yüksektir. Bu süreçler çevik bir liderlik yaklaşımıyla yönetilmektedir. Koordinatörlükte liderlik anlayışı ve koordinasyon kültürü yerleşmiştir. Liderler birimin değerleri ve hedefleri doğrultusunda stratejilerinin yanı sıra; yetki paylaşımını, ilişkileri, zamanı, kurumsal motivasyon ve stresi de etkin ve dengeli biçimde yönetmektedir. Üniversitenin tüm birimlerinde afet kültürünü yerleştirerek, afet yönetimi çalışmalarının tüm çalışanlar tarafından sahiplenilmesini, desteklenmesini ve aktif katılım sağlanmasını teşvik etmek hedeflenmektedir. Bu doğrultuda, afetlere hazırlık, müdahale ve iyileştirme süreçlerinde tüm paydaşların bilinçlendirilmesi, ortak hedeflere yönlendirilmesi ve etkin bir iş birliği mekanizmasının oluşturulması amaçlanmaktadır. Eğitim ve farkındalık faaliyetleriyle afet kültürünün kurumsal düzeyde benimsenmesi sağlanarak, üniversite genelinde güçlü ve sürdürülebilir bir afet yönetim anlayışı oluşturulması hedeflenmektedir. Afet ve acil durumların önlenebilir olduğu bilinciyle, risk temelli ve proaktif bir yaklaşım benimsenerek, afetlere hazırlık ve müdahale süreçleri öncelikli hedef olarak belirlenmiştir. Bu kapsamda, afet ve acil durumlara yönelik çalışmaların sistematik bir şekilde yürütülmesi ve desteklenmesi sağlanarak, üniversite bünyesinde güvenli ve etkin bir afet yönetim altyapısının oluşturulması amaçlanmaktadır.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liderlerin kalite güvencesi sisteminin yönetimi ve kültürünün içselleştirilmesi konusunda sahipliği ve motivasyonu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3926a304b3b20432" w:history="1">
        <w:r>
          <w:rPr>
            <w:rStyle w:val="DefaultParagraphFontPHPDOCX"/>
            <w:rFonts w:ascii="Times New Roman" w:hAnsi="Times New Roman" w:eastAsia="Times New Roman" w:cs="Times New Roman"/>
            <w:color w:val="0000FF"/>
            <w:sz w:val="24"/>
            <w:szCs w:val="24"/>
            <w:u w:val="single" w:color="000000"/>
          </w:rPr>
          <w:t xml:space="preserve">(2)A.1.2._1: Afet Bilinci: 100 Yıllık Deneyim ve Geleceğe Bakış Sempozyumuna Katılım Sağladık</w:t>
        </w:r>
      </w:hyperlink>
    </w:p>
    <w:p>
      <w:pPr>
        <w:widowControl w:val="on"/>
        <w:pBdr/>
        <w:spacing w:before="240" w:after="240" w:line="240" w:lineRule="auto"/>
        <w:ind w:left="0" w:right="0"/>
        <w:jc w:val="left"/>
      </w:pPr>
      <w:hyperlink xmlns:r="http://schemas.openxmlformats.org/officeDocument/2006/relationships" r:id="rId47246a304b3b204af" w:history="1">
        <w:r>
          <w:rPr>
            <w:rStyle w:val="DefaultParagraphFontPHPDOCX"/>
            <w:rFonts w:ascii="Times New Roman" w:hAnsi="Times New Roman" w:eastAsia="Times New Roman" w:cs="Times New Roman"/>
            <w:color w:val="0000FF"/>
            <w:sz w:val="24"/>
            <w:szCs w:val="24"/>
            <w:u w:val="single" w:color="000000"/>
          </w:rPr>
          <w:t xml:space="preserve">(2)A.1.2._2: HAP Uygulayıcı Eğitimine Katılım Sağladık</w:t>
        </w:r>
      </w:hyperlink>
    </w:p>
    <w:p>
      <w:pPr>
        <w:widowControl w:val="on"/>
        <w:pBdr/>
        <w:spacing w:before="240" w:after="240" w:line="240" w:lineRule="auto"/>
        <w:ind w:left="0" w:right="0"/>
        <w:jc w:val="left"/>
      </w:pPr>
      <w:hyperlink xmlns:r="http://schemas.openxmlformats.org/officeDocument/2006/relationships" r:id="rId74446a304b3b20525" w:history="1">
        <w:r>
          <w:rPr>
            <w:rStyle w:val="DefaultParagraphFontPHPDOCX"/>
            <w:rFonts w:ascii="Times New Roman" w:hAnsi="Times New Roman" w:eastAsia="Times New Roman" w:cs="Times New Roman"/>
            <w:color w:val="0000FF"/>
            <w:sz w:val="24"/>
            <w:szCs w:val="24"/>
            <w:u w:val="single" w:color="000000"/>
          </w:rPr>
          <w:t xml:space="preserve">(2)A.1.2._3: Ambulans Sürüş Güvenliği Eğitimine Katılım Sağladık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Afet ve acil durum yönetimi alanında, yükseköğretim ekosistemi içindeki değişimleri, küresel eğilimleri, ulusal hedefleri ve paydaş beklentilerini dikkate alarak, Koordinatörlük çevik yönetim yetkinliğine sahiptir. Geleceğe uyum sağlamak için afet ve acil durumlarla ilgili amaç, misyon ve hedefler doğrultusunda birim dönüşümünü sağlamak amacıyla değişim yönetimi, kıyaslama ve yenilik yönetimi gibi yaklaşımlar kullanılır. Bu yaklaşımlar, afet yönetim süreçlerini güçlendirirken, kurumun özgünlüğünü artırarak etkili ve sürdürülebilir bir afet yönetim altyapısı oluşturmayı hedefler.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PUKÖ çevrimleri itibarı ile takvim yılı temelinde hangi işlem, süreç, mekanizmaların devreye gireceği planlanmıştır. Gerçekleşen uygulamalar değerlendirilmektedir. Takvim yılı temelinde tasarlanmayan diğer kalite döngülerinin ise tüm katmanları içerdiği kanıtları ile belirtilmiştir, gerçekleşen uygulamalar değerlendirilmektedir. Birime ait kalite güvencesi rehberi gibi, politika ayrıntılarının yer aldığı erişilebilen ve güncellenen doküman hazırlanmaktadır.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tanımlanmış bir iç kalite güvencesi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Birimin bölgesindeki dış paydaşları, ilişkili olduğu yerel yönetimler, diğer üniversiteler, kamu kurumu kuruluşları, sivil toplum kuruluşları, sanayi ve yerel halk ile ilişkileri değerlendirilmektedir.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şeffaflık ve hesap verebilirlik ilkeleri doğrultusunda kamuoyunu bilgilendirmek üzere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0226a304b3b20c41" w:history="1">
        <w:r>
          <w:rPr>
            <w:rStyle w:val="DefaultParagraphFontPHPDOCX"/>
            <w:rFonts w:ascii="Times New Roman" w:hAnsi="Times New Roman" w:eastAsia="Times New Roman" w:cs="Times New Roman"/>
            <w:color w:val="0000FF"/>
            <w:sz w:val="24"/>
            <w:szCs w:val="24"/>
            <w:u w:val="single" w:color="000000"/>
          </w:rPr>
          <w:t xml:space="preserve">(2)A.1.5._1: Afet_Acil_Durum_Koordinatörlüğü_Web_Sitesi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Misyon ve vizyon ifadesi tanımlanmıştır, birim çalışanlarınca bilinir ve paylaşılır. Birime özeldir, sürdürülebilir bir gelecek yaratmak için yol göstericidir. Politika birim çalışanlarınca bilinir ve paylaşılır. Politika belgesi yalın, somut, gerçekçidir.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0596a304b3b20f6d" w:history="1">
        <w:r>
          <w:rPr>
            <w:rStyle w:val="DefaultParagraphFontPHPDOCX"/>
            <w:rFonts w:ascii="Times New Roman" w:hAnsi="Times New Roman" w:eastAsia="Times New Roman" w:cs="Times New Roman"/>
            <w:color w:val="0000FF"/>
            <w:sz w:val="24"/>
            <w:szCs w:val="24"/>
            <w:u w:val="single" w:color="000000"/>
          </w:rPr>
          <w:t xml:space="preserve">(2)A.2.1._1: Misyon_Vizyon</w:t>
        </w:r>
      </w:hyperlink>
    </w:p>
    <w:p>
      <w:pPr>
        <w:widowControl w:val="on"/>
        <w:pBdr/>
        <w:spacing w:before="240" w:after="240" w:line="240" w:lineRule="auto"/>
        <w:ind w:left="0" w:right="0"/>
        <w:jc w:val="left"/>
      </w:pPr>
      <w:hyperlink xmlns:r="http://schemas.openxmlformats.org/officeDocument/2006/relationships" r:id="rId85796a304b3b20fdf" w:history="1">
        <w:r>
          <w:rPr>
            <w:rStyle w:val="DefaultParagraphFontPHPDOCX"/>
            <w:rFonts w:ascii="Times New Roman" w:hAnsi="Times New Roman" w:eastAsia="Times New Roman" w:cs="Times New Roman"/>
            <w:color w:val="0000FF"/>
            <w:sz w:val="24"/>
            <w:szCs w:val="24"/>
            <w:u w:val="single" w:color="000000"/>
          </w:rPr>
          <w:t xml:space="preserve">(2)A.2.1._2: Yönerge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Stratejik Plan kültürü ve geleneği vardır. Tüm paydaşların görüşü alınarak (özellikle stratejik paydaşlar) süreç tamamlanacaktır.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ilan edilmiş bir stratejik planı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8296a304b3b212ca" w:history="1">
        <w:r>
          <w:rPr>
            <w:rStyle w:val="DefaultParagraphFontPHPDOCX"/>
            <w:rFonts w:ascii="Times New Roman" w:hAnsi="Times New Roman" w:eastAsia="Times New Roman" w:cs="Times New Roman"/>
            <w:color w:val="0000FF"/>
            <w:sz w:val="24"/>
            <w:szCs w:val="24"/>
            <w:u w:val="single" w:color="000000"/>
          </w:rPr>
          <w:t xml:space="preserve">(2)A.2.2._1: Toplumsal_Katkı_Stratejilerimiz</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performans yönetim sistemleri, bütünsel bir yaklaşımla ele alınarak stratejik amaçlar doğrultusunda sürekli iyileştirme ve kurumsal gelişim sağlamak amacıyla planlanmaktadır. Bu sistemlerin, birimin geleceğe hazırlanmasına katkıda bulunacak şekilde yapılandırılması hedeflenmektedir. Performans yönetiminin doğru ve güvenilir olması için bilişim sistemleri ile entegrasyon süreci planlanmakta olup, sistemin etkinliğini artıracak dijital altyapılar oluşturulacaktır. Performans yönetimi, birimin stratejik bakış açısını yansıtacak şekilde süreç odaklı ve paydaş katılımına dayalı bir modelle tasarlanacaktır. Planlama sürecinde, birimin tüm temel etkinliklerini kapsayacak şekilde kurumsal performans göstergeleri (genel, anahtar, uzaktan eğitim vb.) tanımlanacak ve ilgili paydaşlarla paylaşılacaktır. Performans göstergelerinin iç kalite güvencesi sistemi ile nasıl ilişkilendirileceği belirlenerek yazılı hale getirilecektir. Ayrıca, performans yönetim sisteminin karar alma süreçlerine etkisinin izlenmesi amacıyla veri toplama ve analiz mekanizmaları oluşturulacaktır. Yıllar içindeki değişimlerin takip edilmesi ve bu izlemenin sonuçlarının kayıt altına alınarak karar süreçlerinde etkin şekilde kullanılması için gerekli planlamalar yapılacaktır.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performans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Birimin önemli etkinlikleri ve süreçlerine ilişkin veriler toplanmakta, analiz edilmekte, raporlanmakta ve stratejik yönetim için kullanılmaktadır. Akademik ve idari birimlerin kullandıkları Bilgi Yönetim Sistemi entegredir ve kalite yönetim süreçlerini beslemektedir. Trabzon üniversitesinin oluşturmuş olduğu Kurumsal veri yönetim sistemi ile ilişkin veriler toplanmakta raporlanmakta ve stratejik yönetim için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kurumsal bilginin edinimi, saklanması, kullanılması, işlenmesi ve değerlendirilmesine destek olacak bilgi yönetim sistemleri oluşturulmuştur.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4146a304b3b2180d" w:history="1">
        <w:r>
          <w:rPr>
            <w:rStyle w:val="DefaultParagraphFontPHPDOCX"/>
            <w:rFonts w:ascii="Times New Roman" w:hAnsi="Times New Roman" w:eastAsia="Times New Roman" w:cs="Times New Roman"/>
            <w:color w:val="0000FF"/>
            <w:sz w:val="24"/>
            <w:szCs w:val="24"/>
            <w:u w:val="single" w:color="000000"/>
          </w:rPr>
          <w:t xml:space="preserve">(2)A.3.1._1: Trabzon_Üniversitesi_Afet_ve_Acil_Durum_Koordinatörlüğü_Etkinlik_Analizi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insan kaynakları gücü, akademik ve idari personelden oluşmaktadır. Şeffaf bir şekilde yürütülen bu süreçler, birimdeki herkes tarafından bilinmekte ve takip edilmektedir. Ayrıca, teknik personel alımı da hedeflenmektedir.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Koordinatörlükte süreç yönetimi mekanizmaları izlenmekte ve iç paydaş olan Merkez Yönetim Kurulu ile birlikte değerlendirilip iyileştirilmesi planlanmaktadır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araştırma ve geliştirme, toplumsal katkı ve yönetim sistemine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Afet ve Acil durum Koordinatörlüğü olarak gerekli toplantılar yapılmaktadır. Birimde kalite güvencesi, eğitim ve öğretim, araştırma ve geliştirme, toplumsal katkı, yönetim sistemi ve uluslararasılarsa süreçlerinin PUKÖ katmanlarına paydaş katılımını sağlamak için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kalite güvencesi, eğitim ve öğretim, araştırma ve geliştirme, toplumsal katkı, yönetim sistemi ve uluslararasılaşma süreçlerinin PUKÖ katmanlarına paydaş katılımını sağlamak için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486a304b3b2216c" w:history="1">
        <w:r>
          <w:rPr>
            <w:rStyle w:val="DefaultParagraphFontPHPDOCX"/>
            <w:rFonts w:ascii="Times New Roman" w:hAnsi="Times New Roman" w:eastAsia="Times New Roman" w:cs="Times New Roman"/>
            <w:color w:val="0000FF"/>
            <w:sz w:val="24"/>
            <w:szCs w:val="24"/>
            <w:u w:val="single" w:color="000000"/>
          </w:rPr>
          <w:t xml:space="preserve">(2)A.4.1._1: Trabzon_Yerel_Düzey_Afet_Psikososyal_Destek_Grubu_Destek_Çözüm_Ortakları_Koordinasyon_Toplantısına_Katılım_Sağladık</w:t>
        </w:r>
      </w:hyperlink>
    </w:p>
    <w:p>
      <w:pPr>
        <w:widowControl w:val="on"/>
        <w:pBdr/>
        <w:spacing w:before="240" w:after="240" w:line="240" w:lineRule="auto"/>
        <w:ind w:left="0" w:right="0"/>
        <w:jc w:val="left"/>
      </w:pPr>
      <w:hyperlink xmlns:r="http://schemas.openxmlformats.org/officeDocument/2006/relationships" r:id="rId44896a304b3b221e1" w:history="1">
        <w:r>
          <w:rPr>
            <w:rStyle w:val="DefaultParagraphFontPHPDOCX"/>
            <w:rFonts w:ascii="Times New Roman" w:hAnsi="Times New Roman" w:eastAsia="Times New Roman" w:cs="Times New Roman"/>
            <w:color w:val="0000FF"/>
            <w:sz w:val="24"/>
            <w:szCs w:val="24"/>
            <w:u w:val="single" w:color="000000"/>
          </w:rPr>
          <w:t xml:space="preserve">(2)A.4.1._2: Afet_Risk_Azaltma_Çalışmalarına_Paydaş_Katılımı_ve_Afetlerde_İncinebilir_Grupların_Önemi_Değerlendirildi</w:t>
        </w:r>
      </w:hyperlink>
    </w:p>
    <w:p>
      <w:pPr>
        <w:widowControl w:val="on"/>
        <w:pBdr/>
        <w:spacing w:before="240" w:after="240" w:line="240" w:lineRule="auto"/>
        <w:ind w:left="0" w:right="0"/>
        <w:jc w:val="left"/>
      </w:pPr>
      <w:hyperlink xmlns:r="http://schemas.openxmlformats.org/officeDocument/2006/relationships" r:id="rId36916a304b3b22256" w:history="1">
        <w:r>
          <w:rPr>
            <w:rStyle w:val="DefaultParagraphFontPHPDOCX"/>
            <w:rFonts w:ascii="Times New Roman" w:hAnsi="Times New Roman" w:eastAsia="Times New Roman" w:cs="Times New Roman"/>
            <w:color w:val="0000FF"/>
            <w:sz w:val="24"/>
            <w:szCs w:val="24"/>
            <w:u w:val="single" w:color="000000"/>
          </w:rPr>
          <w:t xml:space="preserve">(2)A.4.1._3: UMKE Personeline Yönelik Düzenlenen Psikososyal Destek Eğitimine Katkı Sağladık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Toplumsal katkı süreçlerinin yönetimi ile ilgili olarak, bir e-kütüphane oluşturulmuş ve bu kütüphane aracılığıyla bilgilendirme çalışmaları yapılmaktadır. Bu süreçte, e-kaynakların etkin bir şekilde kullanımı sağlanarak, toplumsal katkı alanındaki çalışmaların daha geniş kitlelere ulaşması hedeflenmektedir. Web sitesinde faydalı linkler oluşturulmuştur.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toplumsal katkı süreçlerinin yönetimi ve organizasyonel yapısına ilişkin planlamaları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806a304b3b265a9" w:history="1">
        <w:r>
          <w:rPr>
            <w:rStyle w:val="DefaultParagraphFontPHPDOCX"/>
            <w:rFonts w:ascii="Times New Roman" w:hAnsi="Times New Roman" w:eastAsia="Times New Roman" w:cs="Times New Roman"/>
            <w:color w:val="0000FF"/>
            <w:sz w:val="24"/>
            <w:szCs w:val="24"/>
            <w:u w:val="single" w:color="000000"/>
          </w:rPr>
          <w:t xml:space="preserve">(2)D.1.1._1: e_kütüphane</w:t>
        </w:r>
      </w:hyperlink>
    </w:p>
    <w:p>
      <w:pPr>
        <w:widowControl w:val="on"/>
        <w:pBdr/>
        <w:spacing w:before="240" w:after="240" w:line="240" w:lineRule="auto"/>
        <w:ind w:left="0" w:right="0"/>
        <w:jc w:val="left"/>
      </w:pPr>
      <w:hyperlink xmlns:r="http://schemas.openxmlformats.org/officeDocument/2006/relationships" r:id="rId72106a304b3b2661f" w:history="1">
        <w:r>
          <w:rPr>
            <w:rStyle w:val="DefaultParagraphFontPHPDOCX"/>
            <w:rFonts w:ascii="Times New Roman" w:hAnsi="Times New Roman" w:eastAsia="Times New Roman" w:cs="Times New Roman"/>
            <w:color w:val="0000FF"/>
            <w:sz w:val="24"/>
            <w:szCs w:val="24"/>
            <w:u w:val="single" w:color="000000"/>
          </w:rPr>
          <w:t xml:space="preserve">(2)D.1.1._2: Faydalı_Linkler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kapsamda herhangi bir çalışma yapılmamıştır.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Afet ve Acil Durum Koordinatörlüğü, kalite güvencesi sistemini güçlendirmek ve şeffaf bir yönetim anlayışıyla faaliyetlerini sürdürülebilir kılmak için önemli bir çaba sarf etmektedir. Birim İç Değerlendirme Raporları, eğitim, araştırma, ve idari süreçlerin güçlü yönlerini ve gelişim alanlarını analiz etmeye yönelik çok yönlü bir yaklaşım sunmaktadır. Özellikle, paydaş katılımını ve dış paydaşlarla olan ilişkileri güçlendirmeye yönelik stratejiler, koordinatörlüğün toplumla etkileşimini artıran temel unsurlardan biridir. Gerçekleştirilen çeşitli eğitimler, afet yönetimi ve farkındalık çalışmalarına önemli katkılar sağlamaktadır. Afet Farkındalık Eğitimi, İlk Yardım Eğitimi ve HAP Uygulayıcı Eğitimleri gibi uygulamalı programlar, katılımcıların afetlere karşı hazırlıklı olmalarını hedeflemektedir. Ayrıca, UMKE tatbikatları ve işbirliği toplantıları, afet müdahale kapasitesini geliştirme adına büyük bir rol oynamaktadır. Tüm bu etkinlikler, koordinatörlüğün kalitesini artırmaya ve stratejik hedeflere ulaşmaya yönelik somut adımlar atılmasını desteklemektedir. Gelecekteki süreçlerde, bu tür eğitimlerin ve paydaşlarla yapılan işbirliklerinin etkisini değerlendirmek ve sürekli iyileştirme sağlamak adına yeni planlamalar yapılacaktır.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22.01.2026</w:t>
      </w:r>
    </w:p>
    <w:p>
      <w:pPr>
        <w:widowControl w:val="on"/>
        <w:pBdr/>
        <w:spacing w:before="240" w:after="240" w:line="240" w:lineRule="auto"/>
        <w:ind w:left="0" w:right="0"/>
        <w:jc w:val="right"/>
      </w:pPr>
      <w:r>
        <w:rPr>
          <w:color w:val="000000"/>
          <w:sz w:val="24"/>
          <w:szCs w:val="24"/>
        </w:rPr>
        <w:t xml:space="preserve">Dr. Öğr. Üyesi Galip Usta</w:t>
      </w:r>
    </w:p>
    <w:p>
      <w:pPr>
        <w:widowControl w:val="on"/>
        <w:pBdr/>
        <w:spacing w:before="240" w:after="240" w:line="240" w:lineRule="auto"/>
        <w:ind w:left="0" w:right="0"/>
        <w:jc w:val="right"/>
      </w:pPr>
      <w:r>
        <w:rPr>
          <w:color w:val="000000"/>
          <w:sz w:val="24"/>
          <w:szCs w:val="24"/>
        </w:rPr>
        <w:t xml:space="preserve">Koordinatör</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0233">
    <w:multiLevelType w:val="hybridMultilevel"/>
    <w:lvl w:ilvl="0" w:tplc="51293072">
      <w:start w:val="1"/>
      <w:numFmt w:val="decimal"/>
      <w:lvlText w:val="%1."/>
      <w:lvlJc w:val="left"/>
      <w:pPr>
        <w:ind w:left="720" w:hanging="360"/>
      </w:pPr>
    </w:lvl>
    <w:lvl w:ilvl="1" w:tplc="51293072" w:tentative="1">
      <w:start w:val="1"/>
      <w:numFmt w:val="lowerLetter"/>
      <w:lvlText w:val="%2."/>
      <w:lvlJc w:val="left"/>
      <w:pPr>
        <w:ind w:left="1440" w:hanging="360"/>
      </w:pPr>
    </w:lvl>
    <w:lvl w:ilvl="2" w:tplc="51293072" w:tentative="1">
      <w:start w:val="1"/>
      <w:numFmt w:val="lowerRoman"/>
      <w:lvlText w:val="%3."/>
      <w:lvlJc w:val="right"/>
      <w:pPr>
        <w:ind w:left="2160" w:hanging="180"/>
      </w:pPr>
    </w:lvl>
    <w:lvl w:ilvl="3" w:tplc="51293072" w:tentative="1">
      <w:start w:val="1"/>
      <w:numFmt w:val="decimal"/>
      <w:lvlText w:val="%4."/>
      <w:lvlJc w:val="left"/>
      <w:pPr>
        <w:ind w:left="2880" w:hanging="360"/>
      </w:pPr>
    </w:lvl>
    <w:lvl w:ilvl="4" w:tplc="51293072" w:tentative="1">
      <w:start w:val="1"/>
      <w:numFmt w:val="lowerLetter"/>
      <w:lvlText w:val="%5."/>
      <w:lvlJc w:val="left"/>
      <w:pPr>
        <w:ind w:left="3600" w:hanging="360"/>
      </w:pPr>
    </w:lvl>
    <w:lvl w:ilvl="5" w:tplc="51293072" w:tentative="1">
      <w:start w:val="1"/>
      <w:numFmt w:val="lowerRoman"/>
      <w:lvlText w:val="%6."/>
      <w:lvlJc w:val="right"/>
      <w:pPr>
        <w:ind w:left="4320" w:hanging="180"/>
      </w:pPr>
    </w:lvl>
    <w:lvl w:ilvl="6" w:tplc="51293072" w:tentative="1">
      <w:start w:val="1"/>
      <w:numFmt w:val="decimal"/>
      <w:lvlText w:val="%7."/>
      <w:lvlJc w:val="left"/>
      <w:pPr>
        <w:ind w:left="5040" w:hanging="360"/>
      </w:pPr>
    </w:lvl>
    <w:lvl w:ilvl="7" w:tplc="51293072" w:tentative="1">
      <w:start w:val="1"/>
      <w:numFmt w:val="lowerLetter"/>
      <w:lvlText w:val="%8."/>
      <w:lvlJc w:val="left"/>
      <w:pPr>
        <w:ind w:left="5760" w:hanging="360"/>
      </w:pPr>
    </w:lvl>
    <w:lvl w:ilvl="8" w:tplc="51293072" w:tentative="1">
      <w:start w:val="1"/>
      <w:numFmt w:val="lowerRoman"/>
      <w:lvlText w:val="%9."/>
      <w:lvlJc w:val="right"/>
      <w:pPr>
        <w:ind w:left="6480" w:hanging="180"/>
      </w:pPr>
    </w:lvl>
  </w:abstractNum>
  <w:abstractNum w:abstractNumId="29259">
    <w:multiLevelType w:val="hybridMultilevel"/>
    <w:lvl w:ilvl="0" w:tplc="75157962">
      <w:start w:val="1"/>
      <w:numFmt w:val="decimal"/>
      <w:lvlText w:val="%1."/>
      <w:lvlJc w:val="left"/>
      <w:pPr>
        <w:ind w:left="720" w:hanging="360"/>
      </w:pPr>
    </w:lvl>
    <w:lvl w:ilvl="1" w:tplc="75157962" w:tentative="1">
      <w:start w:val="1"/>
      <w:numFmt w:val="lowerLetter"/>
      <w:lvlText w:val="%2."/>
      <w:lvlJc w:val="left"/>
      <w:pPr>
        <w:ind w:left="1440" w:hanging="360"/>
      </w:pPr>
    </w:lvl>
    <w:lvl w:ilvl="2" w:tplc="75157962" w:tentative="1">
      <w:start w:val="1"/>
      <w:numFmt w:val="lowerRoman"/>
      <w:lvlText w:val="%3."/>
      <w:lvlJc w:val="right"/>
      <w:pPr>
        <w:ind w:left="2160" w:hanging="180"/>
      </w:pPr>
    </w:lvl>
    <w:lvl w:ilvl="3" w:tplc="75157962" w:tentative="1">
      <w:start w:val="1"/>
      <w:numFmt w:val="decimal"/>
      <w:lvlText w:val="%4."/>
      <w:lvlJc w:val="left"/>
      <w:pPr>
        <w:ind w:left="2880" w:hanging="360"/>
      </w:pPr>
    </w:lvl>
    <w:lvl w:ilvl="4" w:tplc="75157962" w:tentative="1">
      <w:start w:val="1"/>
      <w:numFmt w:val="lowerLetter"/>
      <w:lvlText w:val="%5."/>
      <w:lvlJc w:val="left"/>
      <w:pPr>
        <w:ind w:left="3600" w:hanging="360"/>
      </w:pPr>
    </w:lvl>
    <w:lvl w:ilvl="5" w:tplc="75157962" w:tentative="1">
      <w:start w:val="1"/>
      <w:numFmt w:val="lowerRoman"/>
      <w:lvlText w:val="%6."/>
      <w:lvlJc w:val="right"/>
      <w:pPr>
        <w:ind w:left="4320" w:hanging="180"/>
      </w:pPr>
    </w:lvl>
    <w:lvl w:ilvl="6" w:tplc="75157962" w:tentative="1">
      <w:start w:val="1"/>
      <w:numFmt w:val="decimal"/>
      <w:lvlText w:val="%7."/>
      <w:lvlJc w:val="left"/>
      <w:pPr>
        <w:ind w:left="5040" w:hanging="360"/>
      </w:pPr>
    </w:lvl>
    <w:lvl w:ilvl="7" w:tplc="75157962" w:tentative="1">
      <w:start w:val="1"/>
      <w:numFmt w:val="lowerLetter"/>
      <w:lvlText w:val="%8."/>
      <w:lvlJc w:val="left"/>
      <w:pPr>
        <w:ind w:left="5760" w:hanging="360"/>
      </w:pPr>
    </w:lvl>
    <w:lvl w:ilvl="8" w:tplc="75157962" w:tentative="1">
      <w:start w:val="1"/>
      <w:numFmt w:val="lowerRoman"/>
      <w:lvlText w:val="%9."/>
      <w:lvlJc w:val="right"/>
      <w:pPr>
        <w:ind w:left="6480" w:hanging="180"/>
      </w:pPr>
    </w:lvl>
  </w:abstractNum>
  <w:abstractNum w:abstractNumId="11462">
    <w:multiLevelType w:val="hybridMultilevel"/>
    <w:lvl w:ilvl="0" w:tplc="60130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62">
    <w:abstractNumId w:val="11462"/>
  </w:num>
  <w:num w:numId="29259">
    <w:abstractNumId w:val="29259"/>
  </w:num>
  <w:num w:numId="10233">
    <w:abstractNumId w:val="102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16035747" Type="http://schemas.microsoft.com/office/2011/relationships/commentsExtended" Target="commentsExtended.xml"/><Relationship Id="rId63246a304b3b1f2d5" Type="http://schemas.openxmlformats.org/officeDocument/2006/relationships/hyperlink" Target="mailto:galipusta@trabzon.edu.tr" TargetMode="External"/><Relationship Id="rId29246a304b3b1ffd7" Type="http://schemas.openxmlformats.org/officeDocument/2006/relationships/hyperlink" Target="https://afet.trabzon.edu.tr/S/6635/yonetim-kurulu" TargetMode="External"/><Relationship Id="rId71056a304b3b2004f" Type="http://schemas.openxmlformats.org/officeDocument/2006/relationships/hyperlink" Target="https://afet.trabzon.edu.tr/S/6633/misyon-vizyon" TargetMode="External"/><Relationship Id="rId51306a304b3b200c3" Type="http://schemas.openxmlformats.org/officeDocument/2006/relationships/hyperlink" Target="https://afet.trabzon.edu.tr/S/7789/organizasyon-semasi" TargetMode="External"/><Relationship Id="rId80876a304b3b20138" Type="http://schemas.openxmlformats.org/officeDocument/2006/relationships/hyperlink" Target="https://kidr.trabzon.edu.tr/indir.php?yol=./dosyayukle/b25e1b22315bcaf1d03f88185effb0e6.pdf&amp;yeni=A.1.1._4%3A+Y%C3%B6nerge" TargetMode="External"/><Relationship Id="rId63926a304b3b20432" Type="http://schemas.openxmlformats.org/officeDocument/2006/relationships/hyperlink" Target="https://afet.trabzon.edu.tr/Haber/6153/afet-bilinci-100-yillik-deneyim-ve-gelecege-bakis-sempozyumuna-katilim-sagladik" TargetMode="External"/><Relationship Id="rId47246a304b3b204af" Type="http://schemas.openxmlformats.org/officeDocument/2006/relationships/hyperlink" Target="https://afet.trabzon.edu.tr/Haber/6154/hap-uygulayici-egitimine-katilim-sagladik" TargetMode="External"/><Relationship Id="rId74446a304b3b20525" Type="http://schemas.openxmlformats.org/officeDocument/2006/relationships/hyperlink" Target="https://afet.trabzon.edu.tr/Haber/6152/ambulans-surus-guvenligi-egitimine-katilim-sagladik" TargetMode="External"/><Relationship Id="rId30226a304b3b20c41" Type="http://schemas.openxmlformats.org/officeDocument/2006/relationships/hyperlink" Target="https://afet.trabzon.edu.tr/" TargetMode="External"/><Relationship Id="rId20596a304b3b20f6d" Type="http://schemas.openxmlformats.org/officeDocument/2006/relationships/hyperlink" Target="https://afet.trabzon.edu.tr/S/6633/misyon-vizyon" TargetMode="External"/><Relationship Id="rId85796a304b3b20fdf" Type="http://schemas.openxmlformats.org/officeDocument/2006/relationships/hyperlink" Target="https://afet.trabzon.edu.tr/S/7787/yonerge" TargetMode="External"/><Relationship Id="rId28296a304b3b212ca" Type="http://schemas.openxmlformats.org/officeDocument/2006/relationships/hyperlink" Target="https://afet.trabzon.edu.tr/S/6637/toplumsal-katki-stratejilerimiz" TargetMode="External"/><Relationship Id="rId24146a304b3b2180d" Type="http://schemas.openxmlformats.org/officeDocument/2006/relationships/hyperlink" Target="https://afet.trabzon.edu.tr/Haber/4261/trabzon-universitesi-afet-ve-acil-durum-koordinatorlugu-etkinlik-analizi" TargetMode="External"/><Relationship Id="rId37486a304b3b2216c" Type="http://schemas.openxmlformats.org/officeDocument/2006/relationships/hyperlink" Target="https://afet.trabzon.edu.tr/Home" TargetMode="External"/><Relationship Id="rId44896a304b3b221e1" Type="http://schemas.openxmlformats.org/officeDocument/2006/relationships/hyperlink" Target="https://afet.trabzon.edu.tr/Home" TargetMode="External"/><Relationship Id="rId36916a304b3b22256" Type="http://schemas.openxmlformats.org/officeDocument/2006/relationships/hyperlink" Target="https://afet.trabzon.edu.tr/Haber/4336/umke-personeline-yonelik-duzenlenen-psikososyal-destek-egitimine-katki-sagladik" TargetMode="External"/><Relationship Id="rId95806a304b3b265a9" Type="http://schemas.openxmlformats.org/officeDocument/2006/relationships/hyperlink" Target="https://afet.trabzon.edu.tr/S/6640/e-kutuphane" TargetMode="External"/><Relationship Id="rId72106a304b3b2661f" Type="http://schemas.openxmlformats.org/officeDocument/2006/relationships/hyperlink" Target="https://afet.trabzon.edu.tr/"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