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E9A1" w14:textId="77777777" w:rsidR="00BD78F8" w:rsidRDefault="00000000">
      <w:pPr>
        <w:spacing w:before="240" w:after="240" w:line="240" w:lineRule="auto"/>
        <w:jc w:val="both"/>
      </w:pPr>
      <w:r>
        <w:rPr>
          <w:rFonts w:ascii="Times New Roman" w:eastAsia="Times New Roman" w:hAnsi="Times New Roman" w:cs="Times New Roman"/>
          <w:b/>
          <w:bCs/>
          <w:color w:val="0000FF"/>
          <w:sz w:val="28"/>
          <w:szCs w:val="28"/>
        </w:rPr>
        <w:t>ÖZET</w:t>
      </w:r>
    </w:p>
    <w:p w14:paraId="06E38D46"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Trabzon Üniversitesi Afet ve Acil Durum Koordinatörlüğü olarak, kalite güvencesi sistemimizin bir parçası olarak her yıl düzenli şekilde hazırladığımız Birim İç Değerlendirme Raporları, koordinatörlüğümüzün eğitim, araştırma ve idari süreçlerindeki güçlü yönlerini, gelişime açık alanlarını ve performansını değerlendirmeyi amaçlamaktadır. Bu raporlar, koordinatörlüğümüzün şeffaf ve hesap verebilir bir yönetim anlayışıyla faaliyetlerini sürdürdüğünün somut bir göstergesidir. Birim İç Değerlendirme Raporları, kalite standartlarımızı geliştirme hedefi doğrultusunda hazırlanmakta olup, koordinatörlüğümüzün mevcut durumunu kapsamlı bir şekilde analiz etmektedir. Öğrencilerimiz, akademik ve idari personelimiz ile diğer paydaşlarımız, bu raporları inceleyerek koordinatörlüğümüzün faaliyetleri hakkında detaylı bilgi edinebilirler.</w:t>
      </w:r>
    </w:p>
    <w:p w14:paraId="62AF6A5A" w14:textId="77777777" w:rsidR="00BD78F8" w:rsidRDefault="00000000">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14:paraId="7E8FFA2C"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1.İletişim Bilgileri</w:t>
      </w:r>
    </w:p>
    <w:p w14:paraId="747D775F"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İletişim Bilgileri</w:t>
      </w:r>
    </w:p>
    <w:p w14:paraId="0C596E6D"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Afet ve Acil Durum Koordinatörü</w:t>
      </w:r>
    </w:p>
    <w:p w14:paraId="5DEE0943"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Dr. Öğr. Üyesi Galip USTA</w:t>
      </w:r>
    </w:p>
    <w:p w14:paraId="0FE63BFD"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Adres: Kaleönü Mahallesi, 61500 Tonya/Trabzon</w:t>
      </w:r>
    </w:p>
    <w:p w14:paraId="0E981AED"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 xml:space="preserve">E-posta: </w:t>
      </w:r>
      <w:hyperlink r:id="rId8" w:history="1">
        <w:r>
          <w:rPr>
            <w:rStyle w:val="DefaultParagraphFontPHPDOCX"/>
            <w:rFonts w:ascii="Times New Roman" w:eastAsia="Times New Roman" w:hAnsi="Times New Roman" w:cs="Times New Roman"/>
            <w:color w:val="0000CC"/>
            <w:sz w:val="24"/>
            <w:szCs w:val="24"/>
            <w:u w:val="single" w:color="000000"/>
          </w:rPr>
          <w:t>galipusta@trabzon.edu.tr</w:t>
        </w:r>
      </w:hyperlink>
    </w:p>
    <w:p w14:paraId="7C4DAA8B"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Telefon: 0 462 455 45 18 (Dahili: 4518)</w:t>
      </w:r>
    </w:p>
    <w:p w14:paraId="4A949C65"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w:t>
      </w:r>
    </w:p>
    <w:p w14:paraId="424098F2"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Trabzon Üniversitesi Afet ve Acil Durum (TRÜ-AFAD) Koordinatörlüğü, 21 Aralık 2023 tarihinde kurularak faaliyetlerine başlamıştır.</w:t>
      </w:r>
    </w:p>
    <w:p w14:paraId="433855FA"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3.Misyonu, Vizyonu, Değerleri ve Hedefleri:</w:t>
      </w:r>
      <w:r>
        <w:rPr>
          <w:rFonts w:ascii="Times New Roman" w:eastAsia="Times New Roman" w:hAnsi="Times New Roman" w:cs="Times New Roman"/>
          <w:color w:val="000000"/>
          <w:sz w:val="24"/>
          <w:szCs w:val="24"/>
        </w:rPr>
        <w:t> </w:t>
      </w:r>
    </w:p>
    <w:p w14:paraId="63473E65"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Misyon</w:t>
      </w:r>
    </w:p>
    <w:p w14:paraId="3F319C15"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Bilgi ve beceriyle donatılmış, milli ve evrensel değerleri benimsemiş, iletişim ve sorun çözme yetkinlikleri gelişmiş, afetlere duyarlı bireylerin yetiştirilmesine ortam ve imkân sağlamaktır.</w:t>
      </w:r>
    </w:p>
    <w:p w14:paraId="6D3DA0FA"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Vizyon</w:t>
      </w:r>
    </w:p>
    <w:p w14:paraId="70557E5E"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Bilimsel araştırma ve multidisipliner yaklaşımları temel alarak, afetlere karşı hazırlıklı ve dirençli toplumlar oluşturmaktır.</w:t>
      </w:r>
    </w:p>
    <w:p w14:paraId="1ADDDD8D" w14:textId="77777777" w:rsidR="00BD78F8" w:rsidRDefault="00000000">
      <w:pPr>
        <w:spacing w:before="240" w:after="240" w:line="240" w:lineRule="auto"/>
        <w:jc w:val="both"/>
      </w:pPr>
      <w:r>
        <w:rPr>
          <w:rFonts w:ascii="Times New Roman" w:eastAsia="Times New Roman" w:hAnsi="Times New Roman" w:cs="Times New Roman"/>
          <w:b/>
          <w:bCs/>
          <w:color w:val="000000"/>
          <w:sz w:val="24"/>
          <w:szCs w:val="24"/>
        </w:rPr>
        <w:t>Değerlerimiz</w:t>
      </w:r>
    </w:p>
    <w:p w14:paraId="4C89385F"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lastRenderedPageBreak/>
        <w:t>Trabzon Üniversitesi Afet ve Acil Durum Koordinatörlüğü’nün temel amacı, afetlere karşı hazırlıklı, dayanıklı ve bilinçli bir toplum oluşturmaktır. Bu amaç doğrultusunda, bilimsel verilerle stratejik çözümler geliştirerek afet risklerini azaltmak, toplumsal farkındalık ve eğitim faaliyetleriyle bireylerin ve kurumların kapasitesini artırmak hedeflenmektedir. Bu kapsamda oluşturulan değerlerimiz şunlardır;</w:t>
      </w:r>
    </w:p>
    <w:p w14:paraId="47447FA9" w14:textId="77777777" w:rsidR="00BD78F8" w:rsidRDefault="00000000">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Hızlı ve Etkili Müdahale:</w:t>
      </w:r>
      <w:r>
        <w:rPr>
          <w:rFonts w:ascii="Times New Roman" w:eastAsia="Times New Roman" w:hAnsi="Times New Roman" w:cs="Times New Roman"/>
          <w:color w:val="000000"/>
          <w:sz w:val="24"/>
          <w:szCs w:val="24"/>
        </w:rPr>
        <w:t xml:space="preserve"> Afet ve acil durumlarda zamanında, doğru ve etkili çözümler üreterek toplumsal fayda sağlamak.</w:t>
      </w:r>
    </w:p>
    <w:p w14:paraId="29E2467F" w14:textId="77777777" w:rsidR="00BD78F8" w:rsidRDefault="00000000">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Dayanışma ve İş Birliği:</w:t>
      </w:r>
      <w:r>
        <w:rPr>
          <w:rFonts w:ascii="Times New Roman" w:eastAsia="Times New Roman" w:hAnsi="Times New Roman" w:cs="Times New Roman"/>
          <w:color w:val="000000"/>
          <w:sz w:val="24"/>
          <w:szCs w:val="24"/>
        </w:rPr>
        <w:t xml:space="preserve"> Toplum, kurumlar ve paydaşlarla güçlü bir iş birliği ve dayanışma kültürü oluşturmak.</w:t>
      </w:r>
    </w:p>
    <w:p w14:paraId="68B73047" w14:textId="77777777" w:rsidR="00BD78F8" w:rsidRDefault="00000000">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Sürdürülebilirlik ve Hazırlıklılık:</w:t>
      </w:r>
      <w:r>
        <w:rPr>
          <w:rFonts w:ascii="Times New Roman" w:eastAsia="Times New Roman" w:hAnsi="Times New Roman" w:cs="Times New Roman"/>
          <w:color w:val="000000"/>
          <w:sz w:val="24"/>
          <w:szCs w:val="24"/>
        </w:rPr>
        <w:t xml:space="preserve"> Afetlere karşı sürdürülebilir çözümler geliştirmek ve her koşulda hazırlıklı olmak.</w:t>
      </w:r>
    </w:p>
    <w:p w14:paraId="56C41232" w14:textId="77777777" w:rsidR="00BD78F8" w:rsidRDefault="00000000">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Bilim ve Eğitim Temelli Yaklaşım:</w:t>
      </w:r>
      <w:r>
        <w:rPr>
          <w:rFonts w:ascii="Times New Roman" w:eastAsia="Times New Roman" w:hAnsi="Times New Roman" w:cs="Times New Roman"/>
          <w:color w:val="000000"/>
          <w:sz w:val="24"/>
          <w:szCs w:val="24"/>
        </w:rPr>
        <w:t xml:space="preserve"> Karar süreçlerinde bilimsel verilerden faydalanmak ve eğitim yoluyla toplumsal farkındalığı artırmak.</w:t>
      </w:r>
    </w:p>
    <w:p w14:paraId="3AFAF26A" w14:textId="77777777" w:rsidR="00BD78F8" w:rsidRDefault="00000000">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Şeffaflık ve Güven:</w:t>
      </w:r>
      <w:r>
        <w:rPr>
          <w:rFonts w:ascii="Times New Roman" w:eastAsia="Times New Roman" w:hAnsi="Times New Roman" w:cs="Times New Roman"/>
          <w:color w:val="000000"/>
          <w:sz w:val="24"/>
          <w:szCs w:val="24"/>
        </w:rPr>
        <w:t xml:space="preserve"> Tüm süreçlerde açık, hesap verebilir ve güvenilir bir yönetim anlayışını benimsemek.</w:t>
      </w:r>
    </w:p>
    <w:p w14:paraId="483295B6" w14:textId="77777777" w:rsidR="00BD78F8" w:rsidRDefault="00000000">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Toplumsal Dayanıklılığı Artırmak:</w:t>
      </w:r>
      <w:r>
        <w:rPr>
          <w:rFonts w:ascii="Times New Roman" w:eastAsia="Times New Roman" w:hAnsi="Times New Roman" w:cs="Times New Roman"/>
          <w:color w:val="000000"/>
          <w:sz w:val="24"/>
          <w:szCs w:val="24"/>
        </w:rPr>
        <w:t xml:space="preserve"> Afetlere karşı toplumun hazırlık seviyesini artırmak ve afet sonrası iyileşme sürecini hızlandırmak.</w:t>
      </w:r>
    </w:p>
    <w:p w14:paraId="57A652B7" w14:textId="77777777" w:rsidR="00BD78F8" w:rsidRDefault="00000000">
      <w:pPr>
        <w:spacing w:before="280" w:after="280" w:line="240" w:lineRule="auto"/>
      </w:pPr>
      <w:r>
        <w:rPr>
          <w:rFonts w:ascii="Times New Roman" w:eastAsia="Times New Roman" w:hAnsi="Times New Roman" w:cs="Times New Roman"/>
          <w:b/>
          <w:bCs/>
          <w:color w:val="0000FF"/>
          <w:sz w:val="28"/>
          <w:szCs w:val="28"/>
        </w:rPr>
        <w:t>A. LİDERLİK, YÖNETİŞİM ve KALİTE</w:t>
      </w:r>
    </w:p>
    <w:p w14:paraId="22C00A07"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A.1. Liderlik ve Kalite</w:t>
      </w:r>
      <w:r>
        <w:rPr>
          <w:rFonts w:ascii="Times New Roman" w:eastAsia="Times New Roman" w:hAnsi="Times New Roman" w:cs="Times New Roman"/>
          <w:b/>
          <w:bCs/>
          <w:color w:val="000000"/>
          <w:sz w:val="28"/>
          <w:szCs w:val="28"/>
        </w:rPr>
        <w:br/>
        <w:t>A.1.1. Yönetişim modeli ve idari yapı</w:t>
      </w:r>
    </w:p>
    <w:p w14:paraId="3C4D7653"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Afet ve Acil Durum Koordinatörlüğü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Organizasyon şeması ile bağlılık ve raporlama ilişkileri açık bir şekilde tanımlanmış ve yayımlanmıştır. Bu sayede, işleyişin tüm paydaşlar tarafından bilinmesi ve anlaşılması sağlanmıştır.</w:t>
      </w:r>
    </w:p>
    <w:p w14:paraId="02C12872"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7394C2B"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Kurumun misyon ve stratejik hedeflerine ulaşmasını güvence altına alan ve süreçleriyle uyumlu yönetişim modeli ve idari yapılanması belirlenmiştir.</w:t>
      </w:r>
    </w:p>
    <w:p w14:paraId="7C2BF4A6"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3D556BC8" w14:textId="77777777" w:rsidR="00BD78F8" w:rsidRDefault="00000000">
      <w:pPr>
        <w:spacing w:before="240" w:after="240" w:line="240" w:lineRule="auto"/>
      </w:pPr>
      <w:hyperlink r:id="rId9" w:history="1">
        <w:r>
          <w:rPr>
            <w:rStyle w:val="DefaultParagraphFontPHPDOCX"/>
            <w:rFonts w:ascii="Times New Roman" w:eastAsia="Times New Roman" w:hAnsi="Times New Roman" w:cs="Times New Roman"/>
            <w:color w:val="0000FF"/>
            <w:sz w:val="24"/>
            <w:szCs w:val="24"/>
            <w:u w:val="single" w:color="000000"/>
          </w:rPr>
          <w:t>(2)A.1.1._1: Yönetim</w:t>
        </w:r>
      </w:hyperlink>
    </w:p>
    <w:p w14:paraId="1114ABA7" w14:textId="77777777" w:rsidR="00BD78F8" w:rsidRDefault="00000000">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(2)A.1.1._2: Misyon_Vizyon</w:t>
        </w:r>
      </w:hyperlink>
    </w:p>
    <w:p w14:paraId="6109F0E5" w14:textId="77777777" w:rsidR="00BD78F8" w:rsidRDefault="00000000">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(2)A.1.1._3: Organizasyon_Şeması</w:t>
        </w:r>
      </w:hyperlink>
    </w:p>
    <w:p w14:paraId="556B691E" w14:textId="77777777" w:rsidR="00BD78F8" w:rsidRDefault="00000000">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(2)A.1.1._4: Yönerge</w:t>
        </w:r>
      </w:hyperlink>
    </w:p>
    <w:p w14:paraId="14AC7B45"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3801B19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lastRenderedPageBreak/>
        <w:t>A.1.2. Liderlik</w:t>
      </w:r>
    </w:p>
    <w:p w14:paraId="340728E1"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Koordinatörlükte yükseköğretim ekosistemindeki değişim, belirsizlik ve karmaşıklığı dikkate alan bir kalite güvencesi sistemi ve kültürü oluşturma konusunda sahipliği ve motivasyonu yüksektir. Bu süreçler çevik bir liderlik yaklaşımıyla yönetilmektedir. Koordinatörlükte liderlik anlayışı ve koordinasyon kültürü yerleşmiştir. Liderler birimin değerleri ve hedefleri doğrultusunda stratejilerinin yanı sıra; yetki paylaşımını, ilişkileri, zamanı, kurumsal motivasyon ve stresi de etkin ve dengeli biçimde yönetmektedir. Üniversitenin tüm birimlerinde afet kültürünü yerleştirerek, afet yönetimi çalışmalarının tüm çalışanlar tarafından sahiplenilmesini, desteklenmesini ve aktif katılım sağlanmasını teşvik etmek hedeflenmektedir. Bu doğrultuda, afetlere hazırlık, müdahale ve iyileştirme süreçlerinde tüm paydaşların bilinçlendirilmesi, ortak hedeflere yönlendirilmesi ve etkin bir iş birliği mekanizmasının oluşturulması amaçlanmaktadır. Eğitim ve farkındalık faaliyetleriyle afet kültürünün kurumsal düzeyde benimsenmesi sağlanarak, üniversite genelinde güçlü ve sürdürülebilir bir afet yönetim anlayışı oluşturulması hedeflenmektedir. Afet ve acil durumların önlenebilir olduğu bilinciyle, risk temelli ve proaktif bir yaklaşım benimsenerek, afetlere hazırlık ve müdahale süreçleri öncelikli hedef olarak belirlenmiştir. Bu kapsamda, afet ve acil durumlara yönelik çalışmaların sistematik bir şekilde yürütülmesi ve desteklenmesi sağlanarak, üniversite bünyesinde güvenli ve etkin bir afet yönetim altyapısının oluşturulması amaçlanmaktadır.</w:t>
      </w:r>
    </w:p>
    <w:p w14:paraId="11B8019A"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5B223DD2"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Kurumda liderlerin kalite güvencesi sisteminin yönetimi ve kültürünün içselleştirilmesi konusunda sahipliği ve motivasyonu bulunmaktadır.</w:t>
      </w:r>
    </w:p>
    <w:p w14:paraId="4BAA8910"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68591A9A" w14:textId="77777777" w:rsidR="00BD78F8" w:rsidRDefault="00000000">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(2)A.1.2._1: Uygulamalı_İlk_Yardım_Eğitimi_Gerçekleştirildi</w:t>
        </w:r>
      </w:hyperlink>
    </w:p>
    <w:p w14:paraId="3D5E8673" w14:textId="77777777" w:rsidR="00BD78F8" w:rsidRDefault="00000000">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(2)A.1.2._2: Çarşıbaşı_MYO_Afet_Farkındalık_Eğitimi</w:t>
        </w:r>
      </w:hyperlink>
    </w:p>
    <w:p w14:paraId="6E58B0F5" w14:textId="77777777" w:rsidR="00BD78F8" w:rsidRDefault="00000000">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(2)A.1.2._3: Trabzon'da_26._Hastane_Afet_ve _Acil_Durum_Planı_(HAP)_Uygulayıcı_Eğitimi_Gerçekleştirildi</w:t>
        </w:r>
      </w:hyperlink>
    </w:p>
    <w:p w14:paraId="5B899645"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4856CB3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A.1.3. Kurumsal dönüşüm kapasitesi</w:t>
      </w:r>
    </w:p>
    <w:p w14:paraId="44BF5B11"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Afet ve acil durum yönetimi alanında, yükseköğretim ekosistemi içindeki değişimleri, küresel eğilimleri, ulusal hedefleri ve paydaş beklentilerini dikkate alarak, Koordinatörlük çevik yönetim yetkinliğine sahiptir. Geleceğe uyum sağlamak için afet ve acil durumlarla ilgili amaç, misyon ve hedefler doğrultusunda birim dönüşümünü sağlamak amacıyla değişim yönetimi, kıyaslama ve yenilik yönetimi gibi yaklaşımlar kullanılır. Bu yaklaşımlar, afet yönetim süreçlerini güçlendirirken, kurumun özgünlüğünü artırarak etkili ve sürdürülebilir bir afet yönetim altyapısı oluşturmayı hedefler.</w:t>
      </w:r>
    </w:p>
    <w:p w14:paraId="7C1583B3"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06A52C7" w14:textId="77777777" w:rsidR="00BD78F8" w:rsidRDefault="00000000">
      <w:pPr>
        <w:spacing w:before="240" w:after="240" w:line="240" w:lineRule="auto"/>
      </w:pPr>
      <w:r>
        <w:rPr>
          <w:rFonts w:ascii="Times New Roman" w:eastAsia="Times New Roman" w:hAnsi="Times New Roman" w:cs="Times New Roman"/>
          <w:color w:val="000000"/>
          <w:sz w:val="24"/>
          <w:szCs w:val="24"/>
        </w:rPr>
        <w:lastRenderedPageBreak/>
        <w:t>1 - Kurumda değişim yönetimi bulunmamaktadır.</w:t>
      </w:r>
    </w:p>
    <w:p w14:paraId="69F673BB"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EC2CC2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A.1.4. İç kalite güvencesi mekanizmaları</w:t>
      </w:r>
    </w:p>
    <w:p w14:paraId="021F2B12"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PUKÖ çevrimleri itibarı ile takvim yılı temelinde hangi işlem, süreç, mekanizmaların devreye gireceği planlanmıştır. Gerçekleşen uygulamalar değerlendirilmektedir. Takvim yılı temelinde tasarlanmayan diğer kalite döngülerinin ise tüm katmanları içerdiği kanıtları ile belirtilmiştir, gerçekleşen uygulamalar değerlendirilmektedir. Birime ait kalite güvencesi rehberi gibi, politika ayrıntılarının yer aldığı erişilebilen ve güncellenen doküman hazırlanmaktadır.</w:t>
      </w:r>
    </w:p>
    <w:p w14:paraId="00C413C8"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D3782A6"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tanımlanmış bir iç kalite güvencesi sistemi bulunmamaktadır.</w:t>
      </w:r>
    </w:p>
    <w:p w14:paraId="559C0479"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5D646B73"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14:paraId="707AFE4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Birimin bölgesindeki dış paydaşları, ilişkili olduğu yerel yönetimler, diğer üniversiteler, kamu kurumu kuruluşları, sivil toplum kuruluşları, sanayi ve yerel halk ile ilişkileri değerlendirilmektedir.</w:t>
      </w:r>
    </w:p>
    <w:p w14:paraId="3979F263"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6549EE7"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Kurumda şeffaflık ve hesap verebilirlik ilkeleri doğrultusunda kamuoyunu bilgilendirmek üzere tanımlı süreçler bulunmaktadır.</w:t>
      </w:r>
    </w:p>
    <w:p w14:paraId="4760BCB7"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6534862E" w14:textId="77777777" w:rsidR="00BD78F8" w:rsidRDefault="00000000">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(2)A.1.5._1: Afet_Acil_Durum_Koordinatörlüğü_Web_Sitesi</w:t>
        </w:r>
      </w:hyperlink>
    </w:p>
    <w:p w14:paraId="2B0C7A6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18C0F6F9"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14:paraId="3DCF665B"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Misyon ve vizyon ifadesi tanımlanmıştır, birim çalışanlarınca bilinir ve paylaşılır. Birime özeldir, sürdürülebilir bir gelecek yaratmak için yol göstericidir. Politika birim çalışanlarınca bilinir ve paylaşılır. Politika belgesi yalın, somut, gerçekçidir.</w:t>
      </w:r>
    </w:p>
    <w:p w14:paraId="589677DD"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F814C14"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Kurumun tanımlanmış ve kuruma özgü misyon, vizyon ve politikaları bulunmaktadır.</w:t>
      </w:r>
    </w:p>
    <w:p w14:paraId="3E50593B" w14:textId="77777777" w:rsidR="00BD78F8" w:rsidRDefault="00000000">
      <w:pPr>
        <w:spacing w:before="240" w:after="240" w:line="240" w:lineRule="auto"/>
      </w:pPr>
      <w:r>
        <w:rPr>
          <w:rFonts w:ascii="Times New Roman" w:eastAsia="Times New Roman" w:hAnsi="Times New Roman" w:cs="Times New Roman"/>
          <w:b/>
          <w:bCs/>
          <w:color w:val="FF0000"/>
          <w:sz w:val="24"/>
          <w:szCs w:val="24"/>
        </w:rPr>
        <w:lastRenderedPageBreak/>
        <w:t>Kanıtlar</w:t>
      </w:r>
    </w:p>
    <w:p w14:paraId="2B7C0E97" w14:textId="77777777" w:rsidR="00BD78F8" w:rsidRDefault="00000000">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(2)A.2.1._1: Misyon_Vizyon</w:t>
        </w:r>
      </w:hyperlink>
    </w:p>
    <w:p w14:paraId="51488EBF" w14:textId="77777777" w:rsidR="00BD78F8" w:rsidRDefault="00000000">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(2)A.2.1._2: Yönerge</w:t>
        </w:r>
      </w:hyperlink>
    </w:p>
    <w:p w14:paraId="679911B2"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648D179"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A.2.2. Stratejik amaç ve hedefler</w:t>
      </w:r>
    </w:p>
    <w:p w14:paraId="6298F9CE"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Stratejik Plan kültürü ve geleneği vardır. Tüm paydaşların görüşü alınarak (özellikle stratejik paydaşlar) süreç tamamlanacaktır.</w:t>
      </w:r>
    </w:p>
    <w:p w14:paraId="21B42E9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86B95F8"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Kurumun ilan edilmiş bir stratejik planı bulunmaktadır.</w:t>
      </w:r>
    </w:p>
    <w:p w14:paraId="7265196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2B8C0A6A" w14:textId="77777777" w:rsidR="00BD78F8" w:rsidRDefault="00000000">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(2)A.2.2._1: Toplumsal_Katkı_Stratejilerimiz</w:t>
        </w:r>
      </w:hyperlink>
    </w:p>
    <w:p w14:paraId="36784C5D"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40166D0B"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A.2.3. Performans yönetimi</w:t>
      </w:r>
    </w:p>
    <w:p w14:paraId="37620FFF"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Birimde performans yönetim sistemleri, bütünsel bir yaklaşımla ele alınarak stratejik amaçlar doğrultusunda sürekli iyileştirme ve kurumsal gelişim sağlamak amacıyla planlanmaktadır. Bu sistemlerin, birimin geleceğe hazırlanmasına katkıda bulunacak şekilde yapılandırılması hedeflenmektedir. Performans yönetiminin doğru ve güvenilir olması için bilişim sistemleri ile entegrasyon süreci planlanmakta olup, sistemin etkinliğini artıracak dijital altyapılar oluşturulacaktır. Performans yönetimi, birimin stratejik bakış açısını yansıtacak şekilde süreç odaklı ve paydaş katılımına dayalı bir modelle tasarlanacaktır. Planlama sürecinde, birimin tüm temel etkinliklerini kapsayacak şekilde kurumsal performans göstergeleri (genel, anahtar, uzaktan eğitim vb.) tanımlanacak ve ilgili paydaşlarla paylaşılacaktır. Performans göstergelerinin iç kalite güvencesi sistemi ile nasıl ilişkilendirileceği belirlenerek yazılı hale getirilecektir. Ayrıca, performans yönetim sisteminin karar alma süreçlerine etkisinin izlenmesi amacıyla veri toplama ve analiz mekanizmaları oluşturulacaktır. Yıllar içindeki değişimlerin takip edilmesi ve bu izlemenin sonuçlarının kayıt altına alınarak karar süreçlerinde etkin şekilde kullanılması için gerekli planlamalar yapılacaktır.</w:t>
      </w:r>
    </w:p>
    <w:p w14:paraId="480C6AAD"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F653BCD"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performans yönetimi bulunmamaktadır.</w:t>
      </w:r>
    </w:p>
    <w:p w14:paraId="09B3EFDB"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570569DE"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14:paraId="05BB442A"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lastRenderedPageBreak/>
        <w:t>Birimin önemli etkinlikleri ve süreçlerine ilişkin veriler toplanmakta, analiz edilmekte, raporlanmakta ve stratejik yönetim için kullanılmaktadır. Akademik ve idari birimlerin kullandıkları Bilgi Yönetim Sistemi entegredir ve kalite yönetim süreçlerini beslemektedir. Trabzon üniversitesinin oluşturmuş olduğu Kurumsal veri yönetim sistemi ile ilişkin veriler toplanmakta raporlanmakta ve stratejik yönetim için kullanılmaktadır.</w:t>
      </w:r>
    </w:p>
    <w:p w14:paraId="7C32C2EA"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26C8C09"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Kurumda kurumsal bilginin edinimi, saklanması, kullanılması, işlenmesi ve değerlendirilmesine destek olacak bilgi yönetim sistemleri oluşturulmuştur. </w:t>
      </w:r>
    </w:p>
    <w:p w14:paraId="5945070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482B04D0" w14:textId="77777777" w:rsidR="00BD78F8" w:rsidRDefault="00000000">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(2)A.3.1._1: Trabzon_Üniversitesi_Afet_ve_Acil_Durum_Koordinatörlüğü_Etkinlik_Analizi</w:t>
        </w:r>
      </w:hyperlink>
    </w:p>
    <w:p w14:paraId="356469AB"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6836913F"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A.3.2. İnsan kaynakları yönetimi</w:t>
      </w:r>
    </w:p>
    <w:p w14:paraId="106F0CB5"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Birimde insan kaynakları gücü, akademik ve idari personelden oluşmaktadır. Şeffaf bir şekilde yürütülen bu süreçler, birimdeki herkes tarafından bilinmekte ve takip edilmektedir. Ayrıca, teknik personel alımı da hedeflenmektedir.</w:t>
      </w:r>
    </w:p>
    <w:p w14:paraId="0F474809"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3CA3314D"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insan kaynakları yönetimine ilişkin tanımlı süreçler bulunmamaktadır.</w:t>
      </w:r>
    </w:p>
    <w:p w14:paraId="5BA71B02"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34C3F2DF"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A.3.3. Finansal yönetim</w:t>
      </w:r>
    </w:p>
    <w:p w14:paraId="5C491200"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A4484A8"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31A20822"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finansal kaynakların yönetimine ilişkin tanımlı süreçler bulunmamaktadır.</w:t>
      </w:r>
    </w:p>
    <w:p w14:paraId="301ED7CB"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A495F9D"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A.3.4. Süreç yönetimi</w:t>
      </w:r>
    </w:p>
    <w:p w14:paraId="5BE5CDD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Koordinatörlükte süreç yönetimi mekanizmaları izlenmekte ve iç paydaş olan Merkez Yönetim Kurulu ile birlikte değerlendirilip iyileştirilmesi planlanmaktadır</w:t>
      </w:r>
    </w:p>
    <w:p w14:paraId="1A16C012"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5D33BE4"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eğitim ve öğretim, araştırma ve geliştirme, toplumsal katkı ve yönetim sistemine ilişkin süreçler tanımlanmamıştır.</w:t>
      </w:r>
    </w:p>
    <w:p w14:paraId="43AD935D" w14:textId="77777777" w:rsidR="00BD78F8" w:rsidRDefault="00000000">
      <w:pPr>
        <w:spacing w:before="240" w:after="240" w:line="240" w:lineRule="auto"/>
      </w:pPr>
      <w:r>
        <w:rPr>
          <w:rFonts w:ascii="Times New Roman" w:eastAsia="Times New Roman" w:hAnsi="Times New Roman" w:cs="Times New Roman"/>
          <w:color w:val="000000"/>
          <w:sz w:val="24"/>
          <w:szCs w:val="24"/>
        </w:rPr>
        <w:lastRenderedPageBreak/>
        <w:t> </w:t>
      </w:r>
    </w:p>
    <w:p w14:paraId="74FB223C"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 İç ve dış paydaş katılımı</w:t>
      </w:r>
    </w:p>
    <w:p w14:paraId="615D54A0"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Afet ve Acil durum Koordinatörlüğü olarak gerekli toplantılar yapılmaktadır. Birimde kalite güvencesi, eğitim ve öğretim, araştırma ve geliştirme, toplumsal katkı, yönetim sistemi ve uluslararasılarsa süreçlerinin PUKÖ katmanlarına paydaş katılımını sağlamak için planlamalar bulunmaktadır.</w:t>
      </w:r>
    </w:p>
    <w:p w14:paraId="54846FA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7BBC788"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Kurumda kalite güvencesi, eğitim ve öğretim, araştırma ve geliştirme, toplumsal katkı, yönetim sistemi ve uluslararasılaşma süreçlerinin PUKÖ katmanlarına paydaş katılımını sağlamak için planlamalar bulunmaktadır.</w:t>
      </w:r>
    </w:p>
    <w:p w14:paraId="79E2AE41"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0843EB94" w14:textId="77777777" w:rsidR="00BD78F8" w:rsidRDefault="00000000">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(2)A.4.1._1: Trabzon_Yerel_Düzey_Afet_Psikososyal_Destek_Grubu_Destek_Çözüm_Ortakları_Koordinasyon_Toplantısına_Katılım_Sağladık</w:t>
        </w:r>
      </w:hyperlink>
    </w:p>
    <w:p w14:paraId="30B138E6" w14:textId="77777777" w:rsidR="00BD78F8" w:rsidRDefault="00000000">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(2)A.4.1._2: Afet_Risk_Azaltma_Çalışmalarına_Paydaş_Katılımı_ve_Afetlerde_İncinebilir_Grupların_Önemi_Değerlendirildi</w:t>
        </w:r>
      </w:hyperlink>
    </w:p>
    <w:p w14:paraId="19E0A8DF" w14:textId="77777777" w:rsidR="00BD78F8" w:rsidRDefault="00000000">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(2)A.4.1._3: Koordinatörlüğümüz_ile_Trabzon_İl_Sağlık_Müdürlüğü_İl_Ambulans_Servisi_Başhekimliği_ve_UMKE_Yetkilileriyle_İşbirliği_Toplantısı</w:t>
        </w:r>
      </w:hyperlink>
    </w:p>
    <w:p w14:paraId="5ABB3A44"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5BB738F0"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A.4.2. Öğrenci geri bildirimleri</w:t>
      </w:r>
    </w:p>
    <w:p w14:paraId="1F10412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4DA05992"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B991F2A"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öğrenci geri bildirimlerinin alınmasına yönelik mekanizmalar bulunmamaktadır.</w:t>
      </w:r>
    </w:p>
    <w:p w14:paraId="5C4D6207"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1FB6833B"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A.4.3. Mezun ilişkileri yönetimi</w:t>
      </w:r>
    </w:p>
    <w:p w14:paraId="37D53C5C"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0A796BAB" w14:textId="77777777" w:rsidR="00BD78F8" w:rsidRDefault="00000000">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6F243537"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mezun izleme sistemi bulunmamaktadır.</w:t>
      </w:r>
    </w:p>
    <w:p w14:paraId="5B1A84B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362B641"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14:paraId="1CF6978F"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3B21086A"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D4C9E93"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uluslararasılaşma süreçlerine ilişkin yönetsel ve organizasyonel yapılanması bulunmamaktadır.</w:t>
      </w:r>
    </w:p>
    <w:p w14:paraId="7F6C65F5"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C90723E"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A.5.2. Uluslararasılaşma kaynakları</w:t>
      </w:r>
    </w:p>
    <w:p w14:paraId="4C7BB9AC"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418ECCC8"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E52F192"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uluslararasılaşma faaliyetlerini sürdürebilmesi için yeterli kaynak bulunmamaktadır.</w:t>
      </w:r>
    </w:p>
    <w:p w14:paraId="6F0A2A81"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40D871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A.5.3. Uluslararasılaşma performansı</w:t>
      </w:r>
    </w:p>
    <w:p w14:paraId="4604F48B"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47265B5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258A6F66"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uluslararasılaşma faaliyeti bulunmamaktadır.</w:t>
      </w:r>
    </w:p>
    <w:p w14:paraId="4AE05347"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1AE79F9D" w14:textId="77777777" w:rsidR="00BD78F8" w:rsidRDefault="00000000">
      <w:pPr>
        <w:spacing w:before="280" w:after="280" w:line="240" w:lineRule="auto"/>
      </w:pPr>
      <w:r>
        <w:rPr>
          <w:rFonts w:ascii="Times New Roman" w:eastAsia="Times New Roman" w:hAnsi="Times New Roman" w:cs="Times New Roman"/>
          <w:b/>
          <w:bCs/>
          <w:color w:val="0000FF"/>
          <w:sz w:val="28"/>
          <w:szCs w:val="28"/>
        </w:rPr>
        <w:t>B. EĞİTİM VE ÖĞRETİM</w:t>
      </w:r>
    </w:p>
    <w:p w14:paraId="42E31530"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14:paraId="1CB0B366"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41DF052E"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23D6873C"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programların tasarımı ve onayına ilişkin süreçler tanımlanmamıştır.</w:t>
      </w:r>
    </w:p>
    <w:p w14:paraId="780ED43F"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6BF171B7" w14:textId="77777777" w:rsidR="00BD78F8" w:rsidRDefault="00000000">
      <w:pPr>
        <w:spacing w:before="280" w:after="280" w:line="240" w:lineRule="auto"/>
      </w:pPr>
      <w:r>
        <w:rPr>
          <w:rFonts w:ascii="Times New Roman" w:eastAsia="Times New Roman" w:hAnsi="Times New Roman" w:cs="Times New Roman"/>
          <w:b/>
          <w:bCs/>
          <w:color w:val="000000"/>
          <w:sz w:val="28"/>
          <w:szCs w:val="28"/>
        </w:rPr>
        <w:lastRenderedPageBreak/>
        <w:t>B.1.2. Programın ders dağılım dengesi</w:t>
      </w:r>
    </w:p>
    <w:p w14:paraId="28A46B00"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46A999AB"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3791793" w14:textId="77777777" w:rsidR="00BD78F8" w:rsidRDefault="00000000">
      <w:pPr>
        <w:spacing w:before="240" w:after="240" w:line="240" w:lineRule="auto"/>
      </w:pPr>
      <w:r>
        <w:rPr>
          <w:rFonts w:ascii="Times New Roman" w:eastAsia="Times New Roman" w:hAnsi="Times New Roman" w:cs="Times New Roman"/>
          <w:color w:val="000000"/>
          <w:sz w:val="24"/>
          <w:szCs w:val="24"/>
        </w:rPr>
        <w:t>1 - Ders dağılımına ilişkin, ilke ve yöntemler tanımlanmamıştır.</w:t>
      </w:r>
    </w:p>
    <w:p w14:paraId="078A562C"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61187B86"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14:paraId="03479D99"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6D75A8DB"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55DBD531" w14:textId="77777777" w:rsidR="00BD78F8" w:rsidRDefault="00000000">
      <w:pPr>
        <w:spacing w:before="240" w:after="240" w:line="240" w:lineRule="auto"/>
      </w:pPr>
      <w:r>
        <w:rPr>
          <w:rFonts w:ascii="Times New Roman" w:eastAsia="Times New Roman" w:hAnsi="Times New Roman" w:cs="Times New Roman"/>
          <w:color w:val="000000"/>
          <w:sz w:val="24"/>
          <w:szCs w:val="24"/>
        </w:rPr>
        <w:t>1 - Ders kazanımları program çıktıları ile eşleştirilmemiştir.</w:t>
      </w:r>
    </w:p>
    <w:p w14:paraId="6D8E9E7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13629AD2"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B.1.4. Öğrenci iş yüküne dayalı ders tasarımı</w:t>
      </w:r>
    </w:p>
    <w:p w14:paraId="48DA1E5D"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2CBB8D6"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0C7EEEE5" w14:textId="77777777" w:rsidR="00BD78F8" w:rsidRDefault="00000000">
      <w:pPr>
        <w:spacing w:before="240" w:after="240" w:line="240" w:lineRule="auto"/>
      </w:pPr>
      <w:r>
        <w:rPr>
          <w:rFonts w:ascii="Times New Roman" w:eastAsia="Times New Roman" w:hAnsi="Times New Roman" w:cs="Times New Roman"/>
          <w:color w:val="000000"/>
          <w:sz w:val="24"/>
          <w:szCs w:val="24"/>
        </w:rPr>
        <w:t>1 - Dersler öğrenci iş yüküne dayalı olarak tasarlanmamıştır.</w:t>
      </w:r>
    </w:p>
    <w:p w14:paraId="7C9F721F"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0BEA128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14:paraId="2DD5F49A"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041581D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822593D" w14:textId="77777777" w:rsidR="00BD78F8" w:rsidRDefault="00000000">
      <w:pPr>
        <w:spacing w:before="240" w:after="240" w:line="240" w:lineRule="auto"/>
      </w:pPr>
      <w:r>
        <w:rPr>
          <w:rFonts w:ascii="Times New Roman" w:eastAsia="Times New Roman" w:hAnsi="Times New Roman" w:cs="Times New Roman"/>
          <w:color w:val="000000"/>
          <w:sz w:val="24"/>
          <w:szCs w:val="24"/>
        </w:rPr>
        <w:t>1 - Program çıktılarının izlenmesine ve güncellenmesine ilişkin mekanizma bulunmamaktadır.</w:t>
      </w:r>
    </w:p>
    <w:p w14:paraId="68C64DF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1AAA6157"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B.1.6. Eğitim ve öğretim süreçlerinin yönetimi</w:t>
      </w:r>
    </w:p>
    <w:p w14:paraId="15650134"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5EEBDD03"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198AB3FA"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eğitim ve öğretim süreçlerini bütüncül olarak yönetmek üzere bir sistem bulunmamaktadır.</w:t>
      </w:r>
    </w:p>
    <w:p w14:paraId="79274945"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332D8E5" w14:textId="77777777" w:rsidR="00BD78F8" w:rsidRDefault="00000000">
      <w:pPr>
        <w:spacing w:before="280" w:after="280" w:line="240" w:lineRule="auto"/>
      </w:pPr>
      <w:r>
        <w:rPr>
          <w:rFonts w:ascii="Times New Roman" w:eastAsia="Times New Roman" w:hAnsi="Times New Roman" w:cs="Times New Roman"/>
          <w:b/>
          <w:bCs/>
          <w:color w:val="000000"/>
          <w:sz w:val="28"/>
          <w:szCs w:val="28"/>
        </w:rPr>
        <w:lastRenderedPageBreak/>
        <w:t>B.2. Programların Yürütülmesi (Öğrenci Merkezli Öğrenme, Öğretme ve Değerlendirme)</w:t>
      </w:r>
      <w:r>
        <w:rPr>
          <w:rFonts w:ascii="Times New Roman" w:eastAsia="Times New Roman" w:hAnsi="Times New Roman" w:cs="Times New Roman"/>
          <w:b/>
          <w:bCs/>
          <w:color w:val="000000"/>
          <w:sz w:val="28"/>
          <w:szCs w:val="28"/>
        </w:rPr>
        <w:br/>
        <w:t>B.2.1. Öğretim yöntem ve teknikleri</w:t>
      </w:r>
    </w:p>
    <w:p w14:paraId="00B7BAB6"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238292CA"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3460B7A" w14:textId="77777777" w:rsidR="00BD78F8" w:rsidRDefault="00000000">
      <w:pPr>
        <w:spacing w:before="240" w:after="240" w:line="240" w:lineRule="auto"/>
      </w:pPr>
      <w:r>
        <w:rPr>
          <w:rFonts w:ascii="Times New Roman" w:eastAsia="Times New Roman" w:hAnsi="Times New Roman" w:cs="Times New Roman"/>
          <w:color w:val="000000"/>
          <w:sz w:val="24"/>
          <w:szCs w:val="24"/>
        </w:rPr>
        <w:t>1 - Öğrenme-öğretme süreçlerinde öğrenci merkezli yaklaşımlar bulunmamaktadır.</w:t>
      </w:r>
    </w:p>
    <w:p w14:paraId="1133203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1680538"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B.2.2. Ölçme ve değerlendirme</w:t>
      </w:r>
    </w:p>
    <w:p w14:paraId="3E9D1F5E"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2CC933E3"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3DD86408" w14:textId="77777777" w:rsidR="00BD78F8" w:rsidRDefault="00000000">
      <w:pPr>
        <w:spacing w:before="240" w:after="240" w:line="240" w:lineRule="auto"/>
      </w:pPr>
      <w:r>
        <w:rPr>
          <w:rFonts w:ascii="Times New Roman" w:eastAsia="Times New Roman" w:hAnsi="Times New Roman" w:cs="Times New Roman"/>
          <w:color w:val="000000"/>
          <w:sz w:val="24"/>
          <w:szCs w:val="24"/>
        </w:rPr>
        <w:t>1 - Programlarda öğrenci merkezli ölçme ve değerlendirme yaklaşımları bulunmamaktadır.</w:t>
      </w:r>
    </w:p>
    <w:p w14:paraId="31825535"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00BA4F9"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B.2.3. Öğrenci kabulü, önceki öğrenmenin tanınması ve kredilendirilmesi</w:t>
      </w:r>
    </w:p>
    <w:p w14:paraId="09C4D2AE"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5ED3182E"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35374AD"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öğrenci kabulü, önceki öğrenmenin tanınması ve kredilendirilmesine ilişkin süreçler tanımlanmamıştır.</w:t>
      </w:r>
    </w:p>
    <w:p w14:paraId="13AFF421"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60356350"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14:paraId="7B2FDF4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695CA95"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B89B907"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diploma onayı ve diğer yeterliliklerin sertifikalandırılmasına ilişkin süreçler tanımlanmamıştır.</w:t>
      </w:r>
    </w:p>
    <w:p w14:paraId="1D8C27F9"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4E63AA0"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B.3. Öğrenme Kaynakları ve Akademik Destek Hizmetleri</w:t>
      </w:r>
      <w:r>
        <w:rPr>
          <w:rFonts w:ascii="Times New Roman" w:eastAsia="Times New Roman" w:hAnsi="Times New Roman" w:cs="Times New Roman"/>
          <w:b/>
          <w:bCs/>
          <w:color w:val="000000"/>
          <w:sz w:val="28"/>
          <w:szCs w:val="28"/>
        </w:rPr>
        <w:br/>
        <w:t>B.3.1. Öğrenme ortam ve kaynakları</w:t>
      </w:r>
    </w:p>
    <w:p w14:paraId="2F63C453"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216F6079" w14:textId="77777777" w:rsidR="00BD78F8" w:rsidRDefault="00000000">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48D4BDE6"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eğitim-öğretim faaliyetlerini sürdürebilmek için yeterli kaynağı bulunmamaktadır.</w:t>
      </w:r>
    </w:p>
    <w:p w14:paraId="24860662"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44AFB1AC"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B.3.2. Akademik destek hizmetleri</w:t>
      </w:r>
    </w:p>
    <w:p w14:paraId="233FE5AF"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655B2803"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51AF931"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öğrencilerin akademik gelişimi ve kariyer planlamasına yönelik destek hizmetleri bulunmamaktadır.</w:t>
      </w:r>
    </w:p>
    <w:p w14:paraId="26D6C18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17CBA4F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B.3.3. Tesis ve altyapılar</w:t>
      </w:r>
    </w:p>
    <w:p w14:paraId="7A84B620"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504BE961"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0B44FC8B"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uygun nitelik ve nicelikte tesisler ve altyapı bulunmamaktadır.</w:t>
      </w:r>
    </w:p>
    <w:p w14:paraId="70990CD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3A8EF56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B.3.4. Dezavantajlı gruplar</w:t>
      </w:r>
    </w:p>
    <w:p w14:paraId="1969C4D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09B14413"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08D49D1"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dezavantajlı grupların eğitim olanaklarına erişimine ilişkin planlamalar bulunmamaktadır.</w:t>
      </w:r>
    </w:p>
    <w:p w14:paraId="7755CA9D"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314AD442"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B.3.5. Sosyal, kültürel, sportif faaliyetler</w:t>
      </w:r>
    </w:p>
    <w:p w14:paraId="1EBDBF1F"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059C540"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3EF122E8"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uygun nitelik ve nicelikte sosyal, kültürel ve sportif faaliyet olanakları bulunmamaktadır.</w:t>
      </w:r>
    </w:p>
    <w:p w14:paraId="43D50575"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5E3F37E9" w14:textId="77777777" w:rsidR="00BD78F8" w:rsidRDefault="00000000">
      <w:pPr>
        <w:spacing w:before="280" w:after="280" w:line="240" w:lineRule="auto"/>
      </w:pPr>
      <w:r>
        <w:rPr>
          <w:rFonts w:ascii="Times New Roman" w:eastAsia="Times New Roman" w:hAnsi="Times New Roman" w:cs="Times New Roman"/>
          <w:b/>
          <w:bCs/>
          <w:color w:val="000000"/>
          <w:sz w:val="28"/>
          <w:szCs w:val="28"/>
        </w:rPr>
        <w:lastRenderedPageBreak/>
        <w:t>B.4. Öğretim Kadrosu</w:t>
      </w:r>
      <w:r>
        <w:rPr>
          <w:rFonts w:ascii="Times New Roman" w:eastAsia="Times New Roman" w:hAnsi="Times New Roman" w:cs="Times New Roman"/>
          <w:b/>
          <w:bCs/>
          <w:color w:val="000000"/>
          <w:sz w:val="28"/>
          <w:szCs w:val="28"/>
        </w:rPr>
        <w:br/>
        <w:t>B.4.1. Atama, yükseltme ve görevlendirme kriterleri</w:t>
      </w:r>
    </w:p>
    <w:p w14:paraId="3A50E0C1"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4BCB104C"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83D18B0"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atama, yükseltme ve görevlendirme süreçleri tanımlanmamıştır.</w:t>
      </w:r>
    </w:p>
    <w:p w14:paraId="6AE8F30C"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05C10EC5"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B.4.2. Öğretim yetkinlikleri ve gelişimi</w:t>
      </w:r>
    </w:p>
    <w:p w14:paraId="5A605556"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3CB69FCE"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51D7A54"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öğretim elemanlarının öğretim yetkinliğini geliştirmek üzere planlamalar bulunmamaktadır.</w:t>
      </w:r>
    </w:p>
    <w:p w14:paraId="16EAAFDA"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4468EEAD"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B.4.3. Eğitim faaliyetlerine yönelik teşvik ve ödüllendirme</w:t>
      </w:r>
    </w:p>
    <w:p w14:paraId="08992A55"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6F9BD4B"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5DFCBD9" w14:textId="77777777" w:rsidR="00BD78F8" w:rsidRDefault="00000000">
      <w:pPr>
        <w:spacing w:before="240" w:after="240" w:line="240" w:lineRule="auto"/>
      </w:pPr>
      <w:r>
        <w:rPr>
          <w:rFonts w:ascii="Times New Roman" w:eastAsia="Times New Roman" w:hAnsi="Times New Roman" w:cs="Times New Roman"/>
          <w:color w:val="000000"/>
          <w:sz w:val="24"/>
          <w:szCs w:val="24"/>
        </w:rPr>
        <w:t>1 - Öğretim kadrosuna yönelik teşvik ve ödüllendirilme mekanizmaları bulunmamaktadır.</w:t>
      </w:r>
    </w:p>
    <w:p w14:paraId="559C295C"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62EB8CFB" w14:textId="77777777" w:rsidR="00BD78F8" w:rsidRDefault="00000000">
      <w:pPr>
        <w:spacing w:before="280" w:after="280" w:line="240" w:lineRule="auto"/>
      </w:pPr>
      <w:r>
        <w:rPr>
          <w:rFonts w:ascii="Times New Roman" w:eastAsia="Times New Roman" w:hAnsi="Times New Roman" w:cs="Times New Roman"/>
          <w:b/>
          <w:bCs/>
          <w:color w:val="0000FF"/>
          <w:sz w:val="28"/>
          <w:szCs w:val="28"/>
        </w:rPr>
        <w:t>C. ARAŞTIRMA VE GELİŞTİRME</w:t>
      </w:r>
    </w:p>
    <w:p w14:paraId="018C5BDE"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Yönetimi</w:t>
      </w:r>
    </w:p>
    <w:p w14:paraId="00AD0F9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0A3BF9B0"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39E68E25"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araştırma süreçlerinin yönetimi ve organizasyonel yapısına ilişkin bir planlama bulunmamaktadır.</w:t>
      </w:r>
    </w:p>
    <w:p w14:paraId="5CE7EB4B"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483A726A"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C.1.2. İç ve dış kaynaklar</w:t>
      </w:r>
    </w:p>
    <w:p w14:paraId="05442201"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21D93D82" w14:textId="77777777" w:rsidR="00BD78F8" w:rsidRDefault="00000000">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26196019"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araştırma ve geliştirme faaliyetlerini sürdürebilmesi için yeterli kaynağı bulunmamaktadır.</w:t>
      </w:r>
    </w:p>
    <w:p w14:paraId="36885794"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794A0F5"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C.1.3. Doktora programları ve doktora sonrası imkanlar</w:t>
      </w:r>
    </w:p>
    <w:p w14:paraId="0BEFA8D4"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042C8DFC"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3C4F9C2B"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doktora programı ve doktora sonrası imkanları bulunmamaktadır.</w:t>
      </w:r>
    </w:p>
    <w:p w14:paraId="5526EA1F"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50F0928F"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C.2. Araştırma Yetkinliği, İş birlikleri ve Destekler</w:t>
      </w:r>
      <w:r>
        <w:rPr>
          <w:rFonts w:ascii="Times New Roman" w:eastAsia="Times New Roman" w:hAnsi="Times New Roman" w:cs="Times New Roman"/>
          <w:b/>
          <w:bCs/>
          <w:color w:val="000000"/>
          <w:sz w:val="28"/>
          <w:szCs w:val="28"/>
        </w:rPr>
        <w:br/>
        <w:t>C.2.1. Araştırma yetkinlikleri ve gelişimi</w:t>
      </w:r>
    </w:p>
    <w:p w14:paraId="383355FC"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24767CD0"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09F105A"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öğretim elemanlarının araştırma yetkinliğinin geliştirilmesine yönelik mekanizmalar bulunmamaktadır.</w:t>
      </w:r>
    </w:p>
    <w:p w14:paraId="21432FE7"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9917747"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C.2.2. Ulusal ve uluslararası ortak programlar ve ortak araştırma birimleri</w:t>
      </w:r>
    </w:p>
    <w:p w14:paraId="4C99A7C6"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3DC62D9F"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76D10CAB"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ulusal ve uluslararası düzeyde ortak programlar ve ortak araştırma birimleri oluşturma yönünde mekanizmalar bulunmamaktadır. </w:t>
      </w:r>
    </w:p>
    <w:p w14:paraId="4CDFE924"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44FFEF02"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t>C.3.1. Araştırma performansının izlenmesi ve değerlendirilmesi</w:t>
      </w:r>
    </w:p>
    <w:p w14:paraId="2980ECE8"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520D3734"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00BA533"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araştırma performansının izlenmesine ve değerlendirmesine yönelik mekanizmalar bulunmamaktadır.</w:t>
      </w:r>
    </w:p>
    <w:p w14:paraId="39CD712A" w14:textId="77777777" w:rsidR="00BD78F8" w:rsidRDefault="00000000">
      <w:pPr>
        <w:spacing w:before="240" w:after="240" w:line="240" w:lineRule="auto"/>
      </w:pPr>
      <w:r>
        <w:rPr>
          <w:rFonts w:ascii="Times New Roman" w:eastAsia="Times New Roman" w:hAnsi="Times New Roman" w:cs="Times New Roman"/>
          <w:color w:val="000000"/>
          <w:sz w:val="24"/>
          <w:szCs w:val="24"/>
        </w:rPr>
        <w:lastRenderedPageBreak/>
        <w:t> </w:t>
      </w:r>
    </w:p>
    <w:p w14:paraId="197B37B8"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C.3.2. Öğretim elemanı/araştırmacı performansının değerlendirilmesi</w:t>
      </w:r>
    </w:p>
    <w:p w14:paraId="2715510E"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7D35D4D"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02AF3D4D"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Kurumda öğretim elemanlarının araştırma performansının izlenmesine ve değerlendirmesine yönelik mekanizmalar bulunmamaktadır.</w:t>
      </w:r>
    </w:p>
    <w:p w14:paraId="17CF5CDC"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092A2C02" w14:textId="77777777" w:rsidR="00BD78F8" w:rsidRDefault="00000000">
      <w:pPr>
        <w:spacing w:before="280" w:after="280" w:line="240" w:lineRule="auto"/>
      </w:pPr>
      <w:r>
        <w:rPr>
          <w:rFonts w:ascii="Times New Roman" w:eastAsia="Times New Roman" w:hAnsi="Times New Roman" w:cs="Times New Roman"/>
          <w:b/>
          <w:bCs/>
          <w:color w:val="0000FF"/>
          <w:sz w:val="28"/>
          <w:szCs w:val="28"/>
        </w:rPr>
        <w:t>D. TOPLUMSAL KATKI</w:t>
      </w:r>
    </w:p>
    <w:p w14:paraId="31E7092B"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D.1. Toplumsal Katkı Süreçlerinin Yönetimi ve Toplumsal Katkı Kaynakları</w:t>
      </w:r>
      <w:r>
        <w:rPr>
          <w:rFonts w:ascii="Times New Roman" w:eastAsia="Times New Roman" w:hAnsi="Times New Roman" w:cs="Times New Roman"/>
          <w:b/>
          <w:bCs/>
          <w:color w:val="000000"/>
          <w:sz w:val="28"/>
          <w:szCs w:val="28"/>
        </w:rPr>
        <w:br/>
        <w:t>D.1.1. Toplumsal Katkı Süreçlerinin Yönetimi</w:t>
      </w:r>
    </w:p>
    <w:p w14:paraId="07577231"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Toplumsal katkı süreçlerinin yönetimi ile ilgili olarak, bir e-kütüphane oluşturulmuş ve bu kütüphane aracılığıyla bilgilendirme çalışmaları yapılmaktadır. Bu süreçte, e-kaynakların etkin bir şekilde kullanımı sağlanarak, toplumsal katkı alanındaki çalışmaların daha geniş kitlelere ulaşması hedeflenmektedir. Web sitesinde faydalı linkler oluşturulmuştur.</w:t>
      </w:r>
    </w:p>
    <w:p w14:paraId="40C484C9"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E26FBB2"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Kurumun toplumsal katkı süreçlerinin yönetimi ve organizasyonel yapısına ilişkin planlamaları bulunmaktadır. </w:t>
      </w:r>
    </w:p>
    <w:p w14:paraId="4892ABFD"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3DDCD7F6" w14:textId="77777777" w:rsidR="00BD78F8" w:rsidRDefault="00000000">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(2)D.1.1._1: e_kütüphane</w:t>
        </w:r>
      </w:hyperlink>
    </w:p>
    <w:p w14:paraId="5C55C40B" w14:textId="77777777" w:rsidR="00BD78F8" w:rsidRDefault="00000000">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(2)D.1.1._2: Faydalı_Linkler</w:t>
        </w:r>
      </w:hyperlink>
    </w:p>
    <w:p w14:paraId="614EC55E"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25F68C27" w14:textId="77777777" w:rsidR="00BD78F8" w:rsidRDefault="00000000">
      <w:pPr>
        <w:spacing w:before="280" w:after="280" w:line="240" w:lineRule="auto"/>
      </w:pPr>
      <w:r>
        <w:rPr>
          <w:rFonts w:ascii="Times New Roman" w:eastAsia="Times New Roman" w:hAnsi="Times New Roman" w:cs="Times New Roman"/>
          <w:b/>
          <w:bCs/>
          <w:color w:val="000000"/>
          <w:sz w:val="28"/>
          <w:szCs w:val="28"/>
        </w:rPr>
        <w:t>D.1.2. Kaynaklar</w:t>
      </w:r>
    </w:p>
    <w:p w14:paraId="7E6B884F"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Bu kapsamda herhangi bir çalışma yapılmamıştır.</w:t>
      </w:r>
    </w:p>
    <w:p w14:paraId="7E593E39"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40B516E7" w14:textId="77777777" w:rsidR="00BD78F8" w:rsidRDefault="00000000">
      <w:pPr>
        <w:spacing w:before="240" w:after="240" w:line="240" w:lineRule="auto"/>
      </w:pPr>
      <w:r>
        <w:rPr>
          <w:rFonts w:ascii="Times New Roman" w:eastAsia="Times New Roman" w:hAnsi="Times New Roman" w:cs="Times New Roman"/>
          <w:color w:val="000000"/>
          <w:sz w:val="24"/>
          <w:szCs w:val="24"/>
        </w:rPr>
        <w:t>1 - Kurumun toplumsal katkı faaliyetlerini sürdürebilmesi için yeterli kaynağı bulunmamaktadır.</w:t>
      </w:r>
    </w:p>
    <w:p w14:paraId="7E3C820B"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7255CFF0" w14:textId="77777777" w:rsidR="00BD78F8" w:rsidRDefault="00000000">
      <w:pPr>
        <w:spacing w:before="280" w:after="280" w:line="240" w:lineRule="auto"/>
      </w:pPr>
      <w:r>
        <w:rPr>
          <w:rFonts w:ascii="Times New Roman" w:eastAsia="Times New Roman" w:hAnsi="Times New Roman" w:cs="Times New Roman"/>
          <w:b/>
          <w:bCs/>
          <w:color w:val="000000"/>
          <w:sz w:val="28"/>
          <w:szCs w:val="28"/>
        </w:rPr>
        <w:lastRenderedPageBreak/>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14:paraId="61171269"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Toplumsal katkı politikamız, topluma fayda sağlamak amacıyla belirlenmiş ve resmi olarak kabul edilmiştir. Bu doğrultuda, belirlenen politikaya uygun olarak çeşitli çalışmalar ve projeler aktif bir şekilde devam etmektedir.</w:t>
      </w:r>
    </w:p>
    <w:p w14:paraId="4D2A3975"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Olgunluk Düzeyi</w:t>
      </w:r>
    </w:p>
    <w:p w14:paraId="67EB2C3F" w14:textId="77777777" w:rsidR="00BD78F8" w:rsidRDefault="00000000">
      <w:pPr>
        <w:spacing w:before="240" w:after="240" w:line="240" w:lineRule="auto"/>
      </w:pPr>
      <w:r>
        <w:rPr>
          <w:rFonts w:ascii="Times New Roman" w:eastAsia="Times New Roman" w:hAnsi="Times New Roman" w:cs="Times New Roman"/>
          <w:color w:val="000000"/>
          <w:sz w:val="24"/>
          <w:szCs w:val="24"/>
        </w:rPr>
        <w:t>2 - Kurumda toplumsal katkı performansının izlenmesine ve değerlendirmesine yönelik ilke, kural ve göstergeler bulunmaktadır.</w:t>
      </w:r>
    </w:p>
    <w:p w14:paraId="440D588F" w14:textId="77777777" w:rsidR="00BD78F8" w:rsidRDefault="00000000">
      <w:pPr>
        <w:spacing w:before="240" w:after="240" w:line="240" w:lineRule="auto"/>
      </w:pPr>
      <w:r>
        <w:rPr>
          <w:rFonts w:ascii="Times New Roman" w:eastAsia="Times New Roman" w:hAnsi="Times New Roman" w:cs="Times New Roman"/>
          <w:b/>
          <w:bCs/>
          <w:color w:val="FF0000"/>
          <w:sz w:val="24"/>
          <w:szCs w:val="24"/>
        </w:rPr>
        <w:t>Kanıtlar</w:t>
      </w:r>
    </w:p>
    <w:p w14:paraId="4F0B4076" w14:textId="77777777" w:rsidR="00BD78F8" w:rsidRDefault="00000000">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(2)D.2.1._1: Toplumsal_Katkı_Politikamız</w:t>
        </w:r>
      </w:hyperlink>
    </w:p>
    <w:p w14:paraId="7DB4D8E3" w14:textId="77777777" w:rsidR="00BD78F8" w:rsidRDefault="00000000">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(2)D.2.1._2: Trabzon_Üniversitesi_Afet_ve_Acil_Durum_Koordinatörlüğü_Etkinlik_Analizi</w:t>
        </w:r>
      </w:hyperlink>
    </w:p>
    <w:p w14:paraId="1DF17D7E" w14:textId="77777777" w:rsidR="00BD78F8" w:rsidRDefault="00000000">
      <w:pPr>
        <w:spacing w:before="240" w:after="240" w:line="240" w:lineRule="auto"/>
      </w:pPr>
      <w:r>
        <w:rPr>
          <w:rFonts w:ascii="Times New Roman" w:eastAsia="Times New Roman" w:hAnsi="Times New Roman" w:cs="Times New Roman"/>
          <w:color w:val="000000"/>
          <w:sz w:val="24"/>
          <w:szCs w:val="24"/>
        </w:rPr>
        <w:t> </w:t>
      </w:r>
    </w:p>
    <w:p w14:paraId="54681C85" w14:textId="77777777" w:rsidR="00BD78F8" w:rsidRDefault="00000000">
      <w:pPr>
        <w:spacing w:before="280" w:after="280" w:line="240" w:lineRule="auto"/>
      </w:pPr>
      <w:r>
        <w:rPr>
          <w:rFonts w:ascii="Times New Roman" w:eastAsia="Times New Roman" w:hAnsi="Times New Roman" w:cs="Times New Roman"/>
          <w:b/>
          <w:bCs/>
          <w:color w:val="0000FF"/>
          <w:sz w:val="28"/>
          <w:szCs w:val="28"/>
        </w:rPr>
        <w:t>SONUÇ VE DEĞERLENDİRME</w:t>
      </w:r>
    </w:p>
    <w:p w14:paraId="391AFAAD" w14:textId="77777777" w:rsidR="00BD78F8" w:rsidRDefault="00000000">
      <w:pPr>
        <w:spacing w:before="240" w:after="240" w:line="240" w:lineRule="auto"/>
        <w:jc w:val="both"/>
      </w:pPr>
      <w:r>
        <w:rPr>
          <w:rFonts w:ascii="Times New Roman" w:eastAsia="Times New Roman" w:hAnsi="Times New Roman" w:cs="Times New Roman"/>
          <w:color w:val="000000"/>
          <w:sz w:val="24"/>
          <w:szCs w:val="24"/>
        </w:rPr>
        <w:t>Trabzon Üniversitesi Afet ve Acil Durum Koordinatörlüğü, kalite güvencesi sistemini güçlendirmek ve şeffaf bir yönetim anlayışıyla faaliyetlerini sürdürülebilir kılmak için önemli bir çaba sarf etmektedir. Birim İç Değerlendirme Raporları, eğitim, araştırma, ve idari süreçlerin güçlü yönlerini ve gelişim alanlarını analiz etmeye yönelik çok yönlü bir yaklaşım sunmaktadır. Özellikle, paydaş katılımını ve dış paydaşlarla olan ilişkileri güçlendirmeye yönelik stratejiler, koordinatörlüğün toplumla etkileşimini artıran temel unsurlardan biridir. Gerçekleştirilen çeşitli eğitimler, afet yönetimi ve farkındalık çalışmalarına önemli katkılar sağlamaktadır. Afet Farkındalık Eğitimi, İlk Yardım Eğitimi ve HAP Uygulayıcı Eğitimleri gibi uygulamalı programlar, katılımcıların afetlere karşı hazırlıklı olmalarını hedeflemektedir. Ayrıca, UMKE tatbikatları ve işbirliği toplantıları, afet müdahale kapasitesini geliştirme adına büyük bir rol oynamaktadır. Tüm bu etkinlikler, koordinatörlüğün kalitesini artırmaya ve stratejik hedeflere ulaşmaya yönelik somut adımlar atılmasını desteklemektedir. Gelecekteki süreçlerde, bu tür eğitimlerin ve paydaşlarla yapılan işbirliklerinin etkisini değerlendirmek ve sürekli iyileştirme sağlamak adına yeni planlamalar yapılacaktır.</w:t>
      </w:r>
    </w:p>
    <w:p w14:paraId="5B0F88F3" w14:textId="77777777" w:rsidR="00BD78F8" w:rsidRDefault="00000000">
      <w:r>
        <w:br w:type="page"/>
      </w:r>
    </w:p>
    <w:p w14:paraId="7E05C4C4" w14:textId="77777777" w:rsidR="00BD78F8" w:rsidRDefault="00000000">
      <w:pPr>
        <w:spacing w:before="281" w:after="281" w:line="240" w:lineRule="auto"/>
        <w:outlineLvl w:val="2"/>
      </w:pPr>
      <w:r>
        <w:rPr>
          <w:b/>
          <w:bCs/>
          <w:color w:val="000000"/>
          <w:sz w:val="28"/>
          <w:szCs w:val="28"/>
        </w:rPr>
        <w:lastRenderedPageBreak/>
        <w:t>BİRİM İÇ DEĞERLENDİRME RAPORU BEYANI</w:t>
      </w:r>
    </w:p>
    <w:p w14:paraId="3E5A8206" w14:textId="77777777" w:rsidR="00BD78F8" w:rsidRDefault="00BD78F8"/>
    <w:p w14:paraId="313AEC88" w14:textId="77777777" w:rsidR="00BD78F8" w:rsidRDefault="00BD78F8"/>
    <w:p w14:paraId="3C90FAC4" w14:textId="77777777" w:rsidR="00BD78F8" w:rsidRDefault="00000000">
      <w:pPr>
        <w:spacing w:before="240" w:after="240" w:line="240" w:lineRule="auto"/>
        <w:jc w:val="both"/>
      </w:pPr>
      <w:r>
        <w:rPr>
          <w:color w:val="000000"/>
          <w:sz w:val="24"/>
          <w:szCs w:val="24"/>
        </w:rPr>
        <w:t>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14:paraId="20F1177C" w14:textId="77777777" w:rsidR="00BD78F8" w:rsidRDefault="00BD78F8"/>
    <w:p w14:paraId="5C1EA133" w14:textId="77777777" w:rsidR="00BD78F8" w:rsidRDefault="00BD78F8"/>
    <w:p w14:paraId="1E1B015D" w14:textId="77777777" w:rsidR="00BD78F8" w:rsidRDefault="00000000">
      <w:pPr>
        <w:spacing w:before="240" w:after="240" w:line="240" w:lineRule="auto"/>
        <w:jc w:val="right"/>
      </w:pPr>
      <w:r>
        <w:rPr>
          <w:color w:val="000000"/>
          <w:sz w:val="24"/>
          <w:szCs w:val="24"/>
        </w:rPr>
        <w:t>10.02.2025</w:t>
      </w:r>
    </w:p>
    <w:p w14:paraId="0D100C7A" w14:textId="77777777" w:rsidR="00BD78F8" w:rsidRDefault="00000000">
      <w:pPr>
        <w:spacing w:before="240" w:after="240" w:line="240" w:lineRule="auto"/>
        <w:jc w:val="right"/>
      </w:pPr>
      <w:r>
        <w:rPr>
          <w:color w:val="000000"/>
          <w:sz w:val="24"/>
          <w:szCs w:val="24"/>
        </w:rPr>
        <w:t>Dr. Öğr. Üyesi Galip Usta</w:t>
      </w:r>
    </w:p>
    <w:p w14:paraId="3BBB66EF" w14:textId="77777777" w:rsidR="00BD78F8" w:rsidRDefault="00000000">
      <w:pPr>
        <w:spacing w:before="240" w:after="240" w:line="240" w:lineRule="auto"/>
        <w:jc w:val="right"/>
      </w:pPr>
      <w:r>
        <w:rPr>
          <w:color w:val="000000"/>
          <w:sz w:val="24"/>
          <w:szCs w:val="24"/>
        </w:rPr>
        <w:t>Koordinatör</w:t>
      </w:r>
    </w:p>
    <w:sectPr w:rsidR="00BD78F8"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A7F1" w14:textId="77777777" w:rsidR="00E7701B" w:rsidRDefault="00E7701B" w:rsidP="006E0FDA">
      <w:pPr>
        <w:spacing w:after="0" w:line="240" w:lineRule="auto"/>
      </w:pPr>
      <w:r>
        <w:separator/>
      </w:r>
    </w:p>
  </w:endnote>
  <w:endnote w:type="continuationSeparator" w:id="0">
    <w:p w14:paraId="3CBD890A" w14:textId="77777777" w:rsidR="00E7701B" w:rsidRDefault="00E7701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F3C4" w14:textId="77777777" w:rsidR="00E7701B" w:rsidRDefault="00E7701B" w:rsidP="006E0FDA">
      <w:pPr>
        <w:spacing w:after="0" w:line="240" w:lineRule="auto"/>
      </w:pPr>
      <w:r>
        <w:separator/>
      </w:r>
    </w:p>
  </w:footnote>
  <w:footnote w:type="continuationSeparator" w:id="0">
    <w:p w14:paraId="036FBC79" w14:textId="77777777" w:rsidR="00E7701B" w:rsidRDefault="00E7701B"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186"/>
    <w:multiLevelType w:val="hybridMultilevel"/>
    <w:tmpl w:val="C4CC64F4"/>
    <w:lvl w:ilvl="0" w:tplc="26666657">
      <w:start w:val="1"/>
      <w:numFmt w:val="decimal"/>
      <w:lvlText w:val="%1."/>
      <w:lvlJc w:val="left"/>
      <w:pPr>
        <w:ind w:left="720" w:hanging="360"/>
      </w:pPr>
    </w:lvl>
    <w:lvl w:ilvl="1" w:tplc="26666657" w:tentative="1">
      <w:start w:val="1"/>
      <w:numFmt w:val="lowerLetter"/>
      <w:lvlText w:val="%2."/>
      <w:lvlJc w:val="left"/>
      <w:pPr>
        <w:ind w:left="1440" w:hanging="360"/>
      </w:pPr>
    </w:lvl>
    <w:lvl w:ilvl="2" w:tplc="26666657" w:tentative="1">
      <w:start w:val="1"/>
      <w:numFmt w:val="lowerRoman"/>
      <w:lvlText w:val="%3."/>
      <w:lvlJc w:val="right"/>
      <w:pPr>
        <w:ind w:left="2160" w:hanging="180"/>
      </w:pPr>
    </w:lvl>
    <w:lvl w:ilvl="3" w:tplc="26666657" w:tentative="1">
      <w:start w:val="1"/>
      <w:numFmt w:val="decimal"/>
      <w:lvlText w:val="%4."/>
      <w:lvlJc w:val="left"/>
      <w:pPr>
        <w:ind w:left="2880" w:hanging="360"/>
      </w:pPr>
    </w:lvl>
    <w:lvl w:ilvl="4" w:tplc="26666657" w:tentative="1">
      <w:start w:val="1"/>
      <w:numFmt w:val="lowerLetter"/>
      <w:lvlText w:val="%5."/>
      <w:lvlJc w:val="left"/>
      <w:pPr>
        <w:ind w:left="3600" w:hanging="360"/>
      </w:pPr>
    </w:lvl>
    <w:lvl w:ilvl="5" w:tplc="26666657" w:tentative="1">
      <w:start w:val="1"/>
      <w:numFmt w:val="lowerRoman"/>
      <w:lvlText w:val="%6."/>
      <w:lvlJc w:val="right"/>
      <w:pPr>
        <w:ind w:left="4320" w:hanging="180"/>
      </w:pPr>
    </w:lvl>
    <w:lvl w:ilvl="6" w:tplc="26666657" w:tentative="1">
      <w:start w:val="1"/>
      <w:numFmt w:val="decimal"/>
      <w:lvlText w:val="%7."/>
      <w:lvlJc w:val="left"/>
      <w:pPr>
        <w:ind w:left="5040" w:hanging="360"/>
      </w:pPr>
    </w:lvl>
    <w:lvl w:ilvl="7" w:tplc="26666657" w:tentative="1">
      <w:start w:val="1"/>
      <w:numFmt w:val="lowerLetter"/>
      <w:lvlText w:val="%8."/>
      <w:lvlJc w:val="left"/>
      <w:pPr>
        <w:ind w:left="5760" w:hanging="360"/>
      </w:pPr>
    </w:lvl>
    <w:lvl w:ilvl="8" w:tplc="26666657"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A584824"/>
    <w:multiLevelType w:val="hybridMultilevel"/>
    <w:tmpl w:val="B97EA5DC"/>
    <w:lvl w:ilvl="0" w:tplc="27880971">
      <w:start w:val="1"/>
      <w:numFmt w:val="decimal"/>
      <w:lvlText w:val="%1."/>
      <w:lvlJc w:val="left"/>
      <w:pPr>
        <w:ind w:left="720" w:hanging="360"/>
      </w:pPr>
    </w:lvl>
    <w:lvl w:ilvl="1" w:tplc="27880971" w:tentative="1">
      <w:start w:val="1"/>
      <w:numFmt w:val="lowerLetter"/>
      <w:lvlText w:val="%2."/>
      <w:lvlJc w:val="left"/>
      <w:pPr>
        <w:ind w:left="1440" w:hanging="360"/>
      </w:pPr>
    </w:lvl>
    <w:lvl w:ilvl="2" w:tplc="27880971" w:tentative="1">
      <w:start w:val="1"/>
      <w:numFmt w:val="lowerRoman"/>
      <w:lvlText w:val="%3."/>
      <w:lvlJc w:val="right"/>
      <w:pPr>
        <w:ind w:left="2160" w:hanging="180"/>
      </w:pPr>
    </w:lvl>
    <w:lvl w:ilvl="3" w:tplc="27880971" w:tentative="1">
      <w:start w:val="1"/>
      <w:numFmt w:val="decimal"/>
      <w:lvlText w:val="%4."/>
      <w:lvlJc w:val="left"/>
      <w:pPr>
        <w:ind w:left="2880" w:hanging="360"/>
      </w:pPr>
    </w:lvl>
    <w:lvl w:ilvl="4" w:tplc="27880971" w:tentative="1">
      <w:start w:val="1"/>
      <w:numFmt w:val="lowerLetter"/>
      <w:lvlText w:val="%5."/>
      <w:lvlJc w:val="left"/>
      <w:pPr>
        <w:ind w:left="3600" w:hanging="360"/>
      </w:pPr>
    </w:lvl>
    <w:lvl w:ilvl="5" w:tplc="27880971" w:tentative="1">
      <w:start w:val="1"/>
      <w:numFmt w:val="lowerRoman"/>
      <w:lvlText w:val="%6."/>
      <w:lvlJc w:val="right"/>
      <w:pPr>
        <w:ind w:left="4320" w:hanging="180"/>
      </w:pPr>
    </w:lvl>
    <w:lvl w:ilvl="6" w:tplc="27880971" w:tentative="1">
      <w:start w:val="1"/>
      <w:numFmt w:val="decimal"/>
      <w:lvlText w:val="%7."/>
      <w:lvlJc w:val="left"/>
      <w:pPr>
        <w:ind w:left="5040" w:hanging="360"/>
      </w:pPr>
    </w:lvl>
    <w:lvl w:ilvl="7" w:tplc="27880971" w:tentative="1">
      <w:start w:val="1"/>
      <w:numFmt w:val="lowerLetter"/>
      <w:lvlText w:val="%8."/>
      <w:lvlJc w:val="left"/>
      <w:pPr>
        <w:ind w:left="5760" w:hanging="360"/>
      </w:pPr>
    </w:lvl>
    <w:lvl w:ilvl="8" w:tplc="27880971"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0B16E47"/>
    <w:multiLevelType w:val="hybridMultilevel"/>
    <w:tmpl w:val="C1E4D682"/>
    <w:lvl w:ilvl="0" w:tplc="24670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7277084">
    <w:abstractNumId w:val="6"/>
  </w:num>
  <w:num w:numId="2" w16cid:durableId="214121470">
    <w:abstractNumId w:val="8"/>
  </w:num>
  <w:num w:numId="3" w16cid:durableId="220748532">
    <w:abstractNumId w:val="9"/>
  </w:num>
  <w:num w:numId="4" w16cid:durableId="616377439">
    <w:abstractNumId w:val="7"/>
  </w:num>
  <w:num w:numId="5" w16cid:durableId="1487477807">
    <w:abstractNumId w:val="2"/>
  </w:num>
  <w:num w:numId="6" w16cid:durableId="909459613">
    <w:abstractNumId w:val="1"/>
  </w:num>
  <w:num w:numId="7" w16cid:durableId="674845050">
    <w:abstractNumId w:val="4"/>
  </w:num>
  <w:num w:numId="8" w16cid:durableId="787359209">
    <w:abstractNumId w:val="5"/>
  </w:num>
  <w:num w:numId="9" w16cid:durableId="1915503733">
    <w:abstractNumId w:val="0"/>
  </w:num>
  <w:num w:numId="10" w16cid:durableId="356809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2F5651"/>
    <w:rsid w:val="00361FF4"/>
    <w:rsid w:val="003B5299"/>
    <w:rsid w:val="0048584D"/>
    <w:rsid w:val="00493A0C"/>
    <w:rsid w:val="004D6B48"/>
    <w:rsid w:val="00531A4E"/>
    <w:rsid w:val="00535F5A"/>
    <w:rsid w:val="00555F58"/>
    <w:rsid w:val="006E6663"/>
    <w:rsid w:val="008B3AC2"/>
    <w:rsid w:val="008F680D"/>
    <w:rsid w:val="00AC197E"/>
    <w:rsid w:val="00B21D59"/>
    <w:rsid w:val="00BD419F"/>
    <w:rsid w:val="00BD78F8"/>
    <w:rsid w:val="00DF064E"/>
    <w:rsid w:val="00E7701B"/>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D216"/>
  <w15:docId w15:val="{B16BA036-87C7-4A34-8391-99C81946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lipusta@trabzon.edu.tr" TargetMode="External"/><Relationship Id="rId13" Type="http://schemas.openxmlformats.org/officeDocument/2006/relationships/hyperlink" Target="https://afet.trabzon.edu.tr/Haber/4142/uygulamali-ilk-yardim-egitimi-gerceklestirildi" TargetMode="External"/><Relationship Id="rId18" Type="http://schemas.openxmlformats.org/officeDocument/2006/relationships/hyperlink" Target="https://afet.trabzon.edu.tr/S/7787/yonerge" TargetMode="External"/><Relationship Id="rId26" Type="http://schemas.openxmlformats.org/officeDocument/2006/relationships/hyperlink" Target="https://afet.trabzon.edu.tr/S/6638/toplumsal-katki-politikamiz" TargetMode="External"/><Relationship Id="rId3" Type="http://schemas.openxmlformats.org/officeDocument/2006/relationships/styles" Target="styles.xml"/><Relationship Id="rId21" Type="http://schemas.openxmlformats.org/officeDocument/2006/relationships/hyperlink" Target="https://afet.trabzon.edu.tr/Haber/2285/trabzon-yerel-duzey-afet-psikososyal-destek-grubu-destek-cozum-ortaklari-koordinasyon-toplantisina-katilim-sagladik" TargetMode="External"/><Relationship Id="rId7" Type="http://schemas.openxmlformats.org/officeDocument/2006/relationships/endnotes" Target="endnotes.xml"/><Relationship Id="rId12" Type="http://schemas.openxmlformats.org/officeDocument/2006/relationships/hyperlink" Target="https://kidr.trabzon.edu.tr/indir.php?yol=./dosyayukle/b25e1b22315bcaf1d03f88185effb0e6.pdf&amp;yeni=A.1.1._4%3A+Y%C3%B6nerge" TargetMode="External"/><Relationship Id="rId17" Type="http://schemas.openxmlformats.org/officeDocument/2006/relationships/hyperlink" Target="https://afet.trabzon.edu.tr/S/6633/misyon-vizyon" TargetMode="External"/><Relationship Id="rId25" Type="http://schemas.openxmlformats.org/officeDocument/2006/relationships/hyperlink" Target="https://afet.trabzon.edu.tr/" TargetMode="External"/><Relationship Id="rId2" Type="http://schemas.openxmlformats.org/officeDocument/2006/relationships/numbering" Target="numbering.xml"/><Relationship Id="rId16" Type="http://schemas.openxmlformats.org/officeDocument/2006/relationships/hyperlink" Target="https://afet.trabzon.edu.tr/" TargetMode="External"/><Relationship Id="rId20" Type="http://schemas.openxmlformats.org/officeDocument/2006/relationships/hyperlink" Target="https://afet.trabzon.edu.tr/Haber/4261/trabzon-universitesi-afet-ve-acil-durum-koordinatorlugu-etkinlik-analiz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et.trabzon.edu.tr/S/7789/organizasyon-semasi" TargetMode="External"/><Relationship Id="rId24" Type="http://schemas.openxmlformats.org/officeDocument/2006/relationships/hyperlink" Target="https://afet.trabzon.edu.tr/S/6640/e-kutuphane" TargetMode="External"/><Relationship Id="rId5" Type="http://schemas.openxmlformats.org/officeDocument/2006/relationships/webSettings" Target="webSettings.xml"/><Relationship Id="rId15" Type="http://schemas.openxmlformats.org/officeDocument/2006/relationships/hyperlink" Target="https://afet.trabzon.edu.tr/Haber/4141/trabzonda-26-hastane-afet-ve-acil-durum-plani-hap-uygulayici-egitimi-gerceklestirildi" TargetMode="External"/><Relationship Id="rId23" Type="http://schemas.openxmlformats.org/officeDocument/2006/relationships/hyperlink" Target="https://afet.trabzon.edu.tr/Haber/2474/koordinatorlugumuz-ile-trabzon-il-saglik-mudurlugu-il-ambulans-servisi-bashekimligi-ve-umke-yetkilileriyle-isbirligi-toplantisi" TargetMode="External"/><Relationship Id="rId28" Type="http://schemas.openxmlformats.org/officeDocument/2006/relationships/fontTable" Target="fontTable.xml"/><Relationship Id="rId10" Type="http://schemas.openxmlformats.org/officeDocument/2006/relationships/hyperlink" Target="https://afet.trabzon.edu.tr/S/6633/misyon-vizyon" TargetMode="External"/><Relationship Id="rId19" Type="http://schemas.openxmlformats.org/officeDocument/2006/relationships/hyperlink" Target="https://afet.trabzon.edu.tr/S/6637/toplumsal-katki-stratejilerimiz" TargetMode="External"/><Relationship Id="rId4" Type="http://schemas.openxmlformats.org/officeDocument/2006/relationships/settings" Target="settings.xml"/><Relationship Id="rId9" Type="http://schemas.openxmlformats.org/officeDocument/2006/relationships/hyperlink" Target="https://afet.trabzon.edu.tr/S/6635/yonetim-kurulu" TargetMode="External"/><Relationship Id="rId14" Type="http://schemas.openxmlformats.org/officeDocument/2006/relationships/hyperlink" Target="https://afet.trabzon.edu.tr/Haber/4143/carsibasi-meslek-yuksekokulunda-afet-farkindalik-egitimi" TargetMode="External"/><Relationship Id="rId22" Type="http://schemas.openxmlformats.org/officeDocument/2006/relationships/hyperlink" Target="https://afet.trabzon.edu.tr/Haber/2407/afet-risk-azaltma-calismalarina-paydas-katilimi-ve-afetlerde-incinebilir-gruplarin-onemi-degerlendirildi" TargetMode="External"/><Relationship Id="rId27" Type="http://schemas.openxmlformats.org/officeDocument/2006/relationships/hyperlink" Target="https://afet.trabzon.edu.tr/Haber/4261/trabzon-universitesi-afet-ve-acil-durum-koordinatorlugu-etkinlik-analiz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3669</Words>
  <Characters>20918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Galip Usta</cp:lastModifiedBy>
  <cp:revision>2</cp:revision>
  <dcterms:created xsi:type="dcterms:W3CDTF">2025-05-14T10:54:00Z</dcterms:created>
  <dcterms:modified xsi:type="dcterms:W3CDTF">2025-05-14T10:54:00Z</dcterms:modified>
</cp:coreProperties>
</file>